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6A9A9" w14:textId="22348D2B" w:rsidR="004B18C0" w:rsidRPr="00646AB6" w:rsidRDefault="004B18C0" w:rsidP="004B18C0">
      <w:pPr>
        <w:autoSpaceDE w:val="0"/>
        <w:autoSpaceDN w:val="0"/>
        <w:adjustRightInd w:val="0"/>
        <w:jc w:val="both"/>
        <w:rPr>
          <w:rFonts w:cstheme="minorHAnsi"/>
          <w:color w:val="808080" w:themeColor="background1" w:themeShade="80"/>
          <w:sz w:val="28"/>
          <w:szCs w:val="28"/>
        </w:rPr>
      </w:pPr>
      <w:bookmarkStart w:id="0" w:name="_GoBack"/>
      <w:bookmarkEnd w:id="0"/>
      <w:r w:rsidRPr="00646AB6">
        <w:rPr>
          <w:rFonts w:cstheme="minorHAnsi"/>
          <w:color w:val="808080" w:themeColor="background1" w:themeShade="80"/>
          <w:sz w:val="28"/>
          <w:szCs w:val="28"/>
        </w:rPr>
        <w:t>01.01.2011 r. to data rozpoczęcia współpracy</w:t>
      </w:r>
      <w:r w:rsidR="00FF4439">
        <w:rPr>
          <w:rFonts w:cstheme="minorHAnsi"/>
          <w:color w:val="808080" w:themeColor="background1" w:themeShade="80"/>
          <w:sz w:val="28"/>
          <w:szCs w:val="28"/>
        </w:rPr>
        <w:t xml:space="preserve"> Polskiej Izby Inżynierów Budownictwa z STU Ergo Hestią S.A.</w:t>
      </w:r>
      <w:r w:rsidRPr="00646AB6">
        <w:rPr>
          <w:rFonts w:cstheme="minorHAnsi"/>
          <w:color w:val="808080" w:themeColor="background1" w:themeShade="80"/>
          <w:sz w:val="28"/>
          <w:szCs w:val="28"/>
        </w:rPr>
        <w:t xml:space="preserve"> w ramach pierwszej Umowy Generalnej Ubezpieczenia Odpowiedzialności Cywilnej. Po prawie dziesięciu latach przedstawiamy Państwu najważniejsze postanowienia</w:t>
      </w:r>
      <w:r w:rsidR="00FF4439">
        <w:rPr>
          <w:rFonts w:cstheme="minorHAnsi"/>
          <w:color w:val="808080" w:themeColor="background1" w:themeShade="80"/>
          <w:sz w:val="28"/>
          <w:szCs w:val="28"/>
        </w:rPr>
        <w:t xml:space="preserve"> nowej</w:t>
      </w:r>
      <w:r w:rsidRPr="00646AB6">
        <w:rPr>
          <w:rFonts w:cstheme="minorHAnsi"/>
          <w:color w:val="808080" w:themeColor="background1" w:themeShade="80"/>
          <w:sz w:val="28"/>
          <w:szCs w:val="28"/>
        </w:rPr>
        <w:t xml:space="preserve"> Umowy Generalnej na lata 2021-2024. Zmiany w stosunku do </w:t>
      </w:r>
      <w:r w:rsidR="00FF4439">
        <w:rPr>
          <w:rFonts w:cstheme="minorHAnsi"/>
          <w:color w:val="808080" w:themeColor="background1" w:themeShade="80"/>
          <w:sz w:val="28"/>
          <w:szCs w:val="28"/>
        </w:rPr>
        <w:t xml:space="preserve">poprzedniej </w:t>
      </w:r>
      <w:r w:rsidRPr="00646AB6">
        <w:rPr>
          <w:rFonts w:cstheme="minorHAnsi"/>
          <w:color w:val="808080" w:themeColor="background1" w:themeShade="80"/>
          <w:sz w:val="28"/>
          <w:szCs w:val="28"/>
        </w:rPr>
        <w:t xml:space="preserve">Umowy zostały zaznaczone kolorem zielonym. Liczymy na </w:t>
      </w:r>
      <w:r w:rsidR="00FF4439">
        <w:rPr>
          <w:rFonts w:cstheme="minorHAnsi"/>
          <w:color w:val="808080" w:themeColor="background1" w:themeShade="80"/>
          <w:sz w:val="28"/>
          <w:szCs w:val="28"/>
        </w:rPr>
        <w:t xml:space="preserve">dalszą owocną </w:t>
      </w:r>
      <w:r w:rsidRPr="00646AB6">
        <w:rPr>
          <w:rFonts w:cstheme="minorHAnsi"/>
          <w:color w:val="808080" w:themeColor="background1" w:themeShade="80"/>
          <w:sz w:val="28"/>
          <w:szCs w:val="28"/>
        </w:rPr>
        <w:t>współprac</w:t>
      </w:r>
      <w:r w:rsidR="00FF4439">
        <w:rPr>
          <w:rFonts w:cstheme="minorHAnsi"/>
          <w:color w:val="808080" w:themeColor="background1" w:themeShade="80"/>
          <w:sz w:val="28"/>
          <w:szCs w:val="28"/>
        </w:rPr>
        <w:t xml:space="preserve">ę </w:t>
      </w:r>
      <w:r w:rsidRPr="00646AB6">
        <w:rPr>
          <w:rFonts w:cstheme="minorHAnsi"/>
          <w:color w:val="808080" w:themeColor="background1" w:themeShade="80"/>
          <w:sz w:val="28"/>
          <w:szCs w:val="28"/>
        </w:rPr>
        <w:t>pomiędzy STU Ergo Hesti</w:t>
      </w:r>
      <w:r w:rsidR="00FF4439">
        <w:rPr>
          <w:rFonts w:cstheme="minorHAnsi"/>
          <w:color w:val="808080" w:themeColor="background1" w:themeShade="80"/>
          <w:sz w:val="28"/>
          <w:szCs w:val="28"/>
        </w:rPr>
        <w:t xml:space="preserve">ą </w:t>
      </w:r>
      <w:r w:rsidRPr="00646AB6">
        <w:rPr>
          <w:rFonts w:cstheme="minorHAnsi"/>
          <w:color w:val="808080" w:themeColor="background1" w:themeShade="80"/>
          <w:sz w:val="28"/>
          <w:szCs w:val="28"/>
        </w:rPr>
        <w:t xml:space="preserve"> a Polską Izbą Inżynierów Budownictwa.</w:t>
      </w:r>
    </w:p>
    <w:p w14:paraId="40A0FB8D" w14:textId="1CB44AE9" w:rsidR="003060BB" w:rsidRPr="004B18C0" w:rsidRDefault="003060BB" w:rsidP="004B18C0">
      <w:pPr>
        <w:jc w:val="both"/>
        <w:rPr>
          <w:rFonts w:cstheme="minorHAnsi"/>
          <w:b/>
          <w:sz w:val="28"/>
          <w:szCs w:val="28"/>
          <w:u w:val="single"/>
        </w:rPr>
      </w:pPr>
    </w:p>
    <w:p w14:paraId="7ADF2A35" w14:textId="77777777" w:rsidR="003060BB" w:rsidRPr="0048167F" w:rsidRDefault="003060BB" w:rsidP="00F5212D">
      <w:pPr>
        <w:pStyle w:val="NormalnyWeb"/>
        <w:numPr>
          <w:ilvl w:val="0"/>
          <w:numId w:val="14"/>
        </w:numPr>
        <w:spacing w:before="0" w:beforeAutospacing="0" w:after="240" w:afterAutospacing="0"/>
        <w:jc w:val="both"/>
        <w:rPr>
          <w:rStyle w:val="Pogrubienie"/>
          <w:rFonts w:ascii="Calibri" w:hAnsi="Calibri" w:cs="Calibri"/>
          <w:b w:val="0"/>
          <w:bCs w:val="0"/>
          <w:u w:val="single"/>
        </w:rPr>
      </w:pPr>
      <w:r w:rsidRPr="0048167F">
        <w:rPr>
          <w:rFonts w:ascii="Calibri" w:hAnsi="Calibri" w:cs="Calibri"/>
          <w:b/>
          <w:u w:val="single"/>
        </w:rPr>
        <w:t xml:space="preserve">Ubezpieczenia w ramach Umowy Generalnej </w:t>
      </w:r>
    </w:p>
    <w:p w14:paraId="5E633939" w14:textId="77777777" w:rsidR="003060BB" w:rsidRPr="00E84506" w:rsidRDefault="003060BB" w:rsidP="00F5212D">
      <w:pPr>
        <w:pStyle w:val="NormalnyWeb"/>
        <w:numPr>
          <w:ilvl w:val="0"/>
          <w:numId w:val="15"/>
        </w:numPr>
        <w:spacing w:before="0" w:beforeAutospacing="0" w:after="120" w:afterAutospacing="0"/>
        <w:jc w:val="both"/>
        <w:outlineLvl w:val="0"/>
        <w:rPr>
          <w:rStyle w:val="Pogrubienie"/>
          <w:rFonts w:ascii="Calibri" w:hAnsi="Calibri" w:cs="Calibri"/>
          <w:u w:val="single"/>
        </w:rPr>
      </w:pPr>
      <w:r w:rsidRPr="00E84506">
        <w:rPr>
          <w:rStyle w:val="Pogrubienie"/>
          <w:rFonts w:ascii="Calibri" w:hAnsi="Calibri" w:cs="Calibri"/>
          <w:u w:val="single"/>
        </w:rPr>
        <w:t>Obowiązkowe ubezpieczenie odpowiedzialności cywilnej inżynierów budownictwa-członków PIIB</w:t>
      </w:r>
    </w:p>
    <w:p w14:paraId="1F973738" w14:textId="77777777" w:rsidR="003060BB" w:rsidRPr="00E84506" w:rsidRDefault="003060BB" w:rsidP="00F5212D">
      <w:pPr>
        <w:pStyle w:val="NormalnyWeb"/>
        <w:numPr>
          <w:ilvl w:val="0"/>
          <w:numId w:val="16"/>
        </w:numPr>
        <w:spacing w:before="0" w:beforeAutospacing="0" w:after="120" w:afterAutospacing="0"/>
        <w:jc w:val="both"/>
        <w:outlineLvl w:val="0"/>
        <w:rPr>
          <w:rStyle w:val="Pogrubienie"/>
          <w:rFonts w:ascii="Calibri" w:hAnsi="Calibri" w:cs="Calibri"/>
        </w:rPr>
      </w:pPr>
      <w:r>
        <w:rPr>
          <w:rStyle w:val="Pogrubienie"/>
          <w:rFonts w:ascii="Calibri" w:hAnsi="Calibri" w:cs="Calibri"/>
        </w:rPr>
        <w:t>Podstawy prawne</w:t>
      </w:r>
      <w:r w:rsidRPr="00E84506">
        <w:rPr>
          <w:rStyle w:val="Pogrubienie"/>
          <w:rFonts w:ascii="Calibri" w:hAnsi="Calibri" w:cs="Calibri"/>
        </w:rPr>
        <w:t xml:space="preserve">: </w:t>
      </w:r>
    </w:p>
    <w:p w14:paraId="072E2E52" w14:textId="77777777" w:rsidR="003060BB" w:rsidRPr="00E84506" w:rsidRDefault="003060BB" w:rsidP="00F5212D">
      <w:pPr>
        <w:pStyle w:val="NormalnyWeb"/>
        <w:spacing w:before="0" w:beforeAutospacing="0" w:after="120" w:afterAutospacing="0"/>
        <w:ind w:left="709"/>
        <w:jc w:val="both"/>
        <w:outlineLvl w:val="0"/>
        <w:rPr>
          <w:rFonts w:ascii="Calibri" w:hAnsi="Calibri" w:cs="Calibri"/>
          <w:b/>
          <w:bCs/>
        </w:rPr>
      </w:pPr>
      <w:r w:rsidRPr="00E84506">
        <w:rPr>
          <w:rFonts w:ascii="Calibri" w:hAnsi="Calibri" w:cs="Calibri"/>
          <w:bCs/>
        </w:rPr>
        <w:t xml:space="preserve">Ustawa z dnia 22 maja 2003 r. o ubezpieczeniach obowiązkowych, Ubezpieczeniowym Funduszu Gwarancyjnym i Polskim Biurze Ubezpieczycieli Komunikacyjnych (Dz.U. z 2019 r. poz. 2214) </w:t>
      </w:r>
    </w:p>
    <w:p w14:paraId="11B3C480" w14:textId="77777777" w:rsidR="003060BB" w:rsidRPr="00E84506" w:rsidRDefault="003060BB" w:rsidP="00F5212D">
      <w:pPr>
        <w:pStyle w:val="NormalnyWeb"/>
        <w:spacing w:before="0" w:beforeAutospacing="0" w:after="120" w:afterAutospacing="0"/>
        <w:ind w:left="709"/>
        <w:jc w:val="both"/>
        <w:outlineLvl w:val="0"/>
        <w:rPr>
          <w:rStyle w:val="Pogrubienie"/>
          <w:rFonts w:ascii="Calibri" w:hAnsi="Calibri" w:cs="Calibri"/>
        </w:rPr>
      </w:pPr>
      <w:r w:rsidRPr="00E84506">
        <w:rPr>
          <w:rFonts w:ascii="Calibri" w:hAnsi="Calibri" w:cs="Calibri"/>
          <w:bCs/>
        </w:rPr>
        <w:t>Rozporządzenie Ministra Finansów z dnia 11 grudnia 2003 r. w sprawie obowiązkowego ubezpieczenia odpowiedzialności cywilnej architektów oraz inżynierów budownictwa (Dz.U. z 2003 r., Nr 220, poz. 2174)</w:t>
      </w:r>
    </w:p>
    <w:p w14:paraId="38862BA1" w14:textId="3E8A0BA9" w:rsidR="003060BB" w:rsidRPr="00F5212D" w:rsidRDefault="003060BB" w:rsidP="00F5212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Style w:val="Pogrubienie"/>
          <w:rFonts w:ascii="Calibri" w:hAnsi="Calibri" w:cs="Calibri"/>
          <w:b w:val="0"/>
          <w:bCs w:val="0"/>
        </w:rPr>
      </w:pPr>
      <w:r w:rsidRPr="00F5212D">
        <w:rPr>
          <w:rStyle w:val="Pogrubienie"/>
          <w:rFonts w:ascii="Calibri" w:hAnsi="Calibri" w:cs="Calibri"/>
        </w:rPr>
        <w:t xml:space="preserve">Suma gwarancyjna: </w:t>
      </w:r>
      <w:r w:rsidRPr="00F5212D">
        <w:rPr>
          <w:rStyle w:val="Pogrubienie"/>
          <w:rFonts w:ascii="Calibri" w:hAnsi="Calibri" w:cs="Calibri"/>
          <w:b w:val="0"/>
          <w:bCs w:val="0"/>
        </w:rPr>
        <w:t xml:space="preserve">50.000 Euro na każde zdarzenie </w:t>
      </w:r>
      <w:r w:rsidR="00A2673B">
        <w:rPr>
          <w:rStyle w:val="Pogrubienie"/>
          <w:rFonts w:ascii="Calibri" w:hAnsi="Calibri" w:cs="Calibri"/>
          <w:b w:val="0"/>
          <w:bCs w:val="0"/>
        </w:rPr>
        <w:t>n</w:t>
      </w:r>
      <w:r w:rsidRPr="00F5212D">
        <w:rPr>
          <w:rStyle w:val="Pogrubienie"/>
          <w:rFonts w:ascii="Calibri" w:hAnsi="Calibri" w:cs="Calibri"/>
          <w:b w:val="0"/>
          <w:bCs w:val="0"/>
        </w:rPr>
        <w:t>a każdego Ubezpieczonego Inżyniera Budownictwa</w:t>
      </w:r>
    </w:p>
    <w:p w14:paraId="0E44A41F" w14:textId="77777777" w:rsidR="003060BB" w:rsidRPr="00E84506" w:rsidRDefault="003060BB" w:rsidP="00F5212D">
      <w:pPr>
        <w:pStyle w:val="NormalnyWeb"/>
        <w:numPr>
          <w:ilvl w:val="0"/>
          <w:numId w:val="16"/>
        </w:numPr>
        <w:spacing w:before="0" w:beforeAutospacing="0" w:after="240" w:afterAutospacing="0"/>
        <w:jc w:val="both"/>
        <w:rPr>
          <w:rFonts w:ascii="Calibri" w:hAnsi="Calibri" w:cs="Calibri"/>
        </w:rPr>
      </w:pPr>
      <w:r w:rsidRPr="00E84506">
        <w:rPr>
          <w:rStyle w:val="Pogrubienie"/>
          <w:rFonts w:ascii="Calibri" w:hAnsi="Calibri" w:cs="Calibri"/>
          <w:bCs w:val="0"/>
        </w:rPr>
        <w:t>Składka ubezpieczeniowa:</w:t>
      </w:r>
      <w:r>
        <w:rPr>
          <w:rStyle w:val="Pogrubienie"/>
          <w:rFonts w:ascii="Calibri" w:hAnsi="Calibri" w:cs="Calibri"/>
          <w:bCs w:val="0"/>
        </w:rPr>
        <w:t xml:space="preserve">  </w:t>
      </w:r>
      <w:r w:rsidRPr="00691DAA">
        <w:rPr>
          <w:rStyle w:val="Pogrubienie"/>
          <w:rFonts w:ascii="Calibri" w:hAnsi="Calibri" w:cs="Calibri"/>
          <w:b w:val="0"/>
          <w:bCs w:val="0"/>
          <w:color w:val="00B050"/>
        </w:rPr>
        <w:t xml:space="preserve">75 PLN </w:t>
      </w:r>
      <w:r>
        <w:rPr>
          <w:rStyle w:val="Pogrubienie"/>
          <w:rFonts w:ascii="Calibri" w:hAnsi="Calibri" w:cs="Calibri"/>
          <w:b w:val="0"/>
          <w:bCs w:val="0"/>
        </w:rPr>
        <w:t xml:space="preserve">za każde </w:t>
      </w:r>
      <w:r w:rsidRPr="00E84506">
        <w:rPr>
          <w:rStyle w:val="Pogrubienie"/>
          <w:rFonts w:ascii="Calibri" w:hAnsi="Calibri" w:cs="Calibri"/>
          <w:b w:val="0"/>
          <w:bCs w:val="0"/>
        </w:rPr>
        <w:t>12 miesięcy</w:t>
      </w:r>
      <w:r>
        <w:rPr>
          <w:rStyle w:val="Pogrubienie"/>
          <w:rFonts w:ascii="Calibri" w:hAnsi="Calibri" w:cs="Calibri"/>
          <w:b w:val="0"/>
          <w:bCs w:val="0"/>
        </w:rPr>
        <w:t xml:space="preserve"> okresu ubezpieczenia za każdego </w:t>
      </w:r>
      <w:r w:rsidRPr="00E84506">
        <w:rPr>
          <w:rStyle w:val="Pogrubienie"/>
          <w:rFonts w:ascii="Calibri" w:hAnsi="Calibri" w:cs="Calibri"/>
          <w:b w:val="0"/>
          <w:bCs w:val="0"/>
        </w:rPr>
        <w:t>Ubezpieczon</w:t>
      </w:r>
      <w:r>
        <w:rPr>
          <w:rStyle w:val="Pogrubienie"/>
          <w:rFonts w:ascii="Calibri" w:hAnsi="Calibri" w:cs="Calibri"/>
          <w:b w:val="0"/>
          <w:bCs w:val="0"/>
        </w:rPr>
        <w:t>ego</w:t>
      </w:r>
    </w:p>
    <w:p w14:paraId="7A58EA90" w14:textId="77777777" w:rsidR="003060BB" w:rsidRDefault="003060BB" w:rsidP="00F5212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</w:rPr>
      </w:pPr>
      <w:r w:rsidRPr="00F5212D">
        <w:rPr>
          <w:rFonts w:ascii="Calibri" w:hAnsi="Calibri" w:cs="Calibri"/>
          <w:b/>
        </w:rPr>
        <w:t>Dodatkowe rozszerzenia zakresu</w:t>
      </w:r>
      <w:r w:rsidR="00F5212D">
        <w:rPr>
          <w:rFonts w:ascii="Calibri" w:hAnsi="Calibri" w:cs="Calibri"/>
          <w:b/>
        </w:rPr>
        <w:t xml:space="preserve"> ubezpieczenia i potwierdzenia </w:t>
      </w:r>
      <w:r w:rsidRPr="00F5212D">
        <w:rPr>
          <w:rFonts w:ascii="Calibri" w:hAnsi="Calibri" w:cs="Calibri"/>
          <w:b/>
        </w:rPr>
        <w:t xml:space="preserve"> ochrony ubezpieczeniowej:</w:t>
      </w:r>
    </w:p>
    <w:p w14:paraId="402B8415" w14:textId="77777777" w:rsidR="003428A2" w:rsidRDefault="003428A2" w:rsidP="003428A2">
      <w:pPr>
        <w:pStyle w:val="Akapitzlist"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</w:rPr>
      </w:pPr>
    </w:p>
    <w:p w14:paraId="6076F783" w14:textId="77777777" w:rsidR="00F5212D" w:rsidRPr="00F5212D" w:rsidRDefault="00F5212D" w:rsidP="003428A2">
      <w:pPr>
        <w:pStyle w:val="Akapitzlist"/>
        <w:numPr>
          <w:ilvl w:val="0"/>
          <w:numId w:val="18"/>
        </w:numPr>
        <w:ind w:left="993" w:right="282"/>
        <w:jc w:val="both"/>
        <w:rPr>
          <w:rFonts w:ascii="Times New Roman" w:hAnsi="Times New Roman" w:cs="Times New Roman"/>
        </w:rPr>
      </w:pPr>
      <w:r w:rsidRPr="00F5212D">
        <w:rPr>
          <w:rFonts w:cstheme="minorHAnsi"/>
        </w:rPr>
        <w:t xml:space="preserve">Ubezpieczenie obejmuje szkody wynikające z wykonywania projektów wykonawczych, techniczno – budowlanych </w:t>
      </w:r>
      <w:r w:rsidRPr="00F5212D">
        <w:rPr>
          <w:rFonts w:cstheme="minorHAnsi"/>
          <w:color w:val="00B050"/>
        </w:rPr>
        <w:t>oraz innych projektów zawierających analizy stanów granicznych nośności (SGN) i/lub stanów granicznych użytkowalności (SGU)</w:t>
      </w:r>
      <w:r w:rsidRPr="00F5212D">
        <w:rPr>
          <w:rFonts w:cstheme="minorHAnsi"/>
        </w:rPr>
        <w:t>, obliczenia statyczne i wytrzymałościowe, analizy wytrzymałościowe i wyboczeniowe, analizy konstrukcji wraz z koniecznymi opisami oraz dokumentacją rysunkową i kosztorysową,</w:t>
      </w:r>
    </w:p>
    <w:p w14:paraId="4F024D48" w14:textId="77777777" w:rsidR="00F5212D" w:rsidRDefault="00F5212D" w:rsidP="003428A2">
      <w:pPr>
        <w:pStyle w:val="NormalnyWeb"/>
        <w:numPr>
          <w:ilvl w:val="0"/>
          <w:numId w:val="18"/>
        </w:numPr>
        <w:spacing w:before="120" w:beforeAutospacing="0" w:after="120" w:afterAutospacing="0"/>
        <w:ind w:left="993"/>
        <w:jc w:val="both"/>
        <w:rPr>
          <w:rStyle w:val="Pogrubienie"/>
          <w:rFonts w:ascii="Calibri" w:hAnsi="Calibri" w:cs="Calibri"/>
          <w:b w:val="0"/>
          <w:bCs w:val="0"/>
        </w:rPr>
      </w:pPr>
      <w:r w:rsidRPr="00E84506">
        <w:rPr>
          <w:rStyle w:val="Pogrubienie"/>
          <w:rFonts w:ascii="Calibri" w:hAnsi="Calibri" w:cs="Calibri"/>
          <w:b w:val="0"/>
          <w:bCs w:val="0"/>
        </w:rPr>
        <w:t xml:space="preserve">Ubezpieczenie obejmuje </w:t>
      </w:r>
      <w:r>
        <w:rPr>
          <w:rStyle w:val="Pogrubienie"/>
          <w:rFonts w:ascii="Calibri" w:hAnsi="Calibri" w:cs="Calibri"/>
          <w:b w:val="0"/>
          <w:bCs w:val="0"/>
        </w:rPr>
        <w:t xml:space="preserve"> </w:t>
      </w:r>
      <w:r w:rsidRPr="00E84506">
        <w:rPr>
          <w:rStyle w:val="Pogrubienie"/>
          <w:rFonts w:ascii="Calibri" w:hAnsi="Calibri" w:cs="Calibri"/>
          <w:b w:val="0"/>
          <w:bCs w:val="0"/>
        </w:rPr>
        <w:t xml:space="preserve"> szkody  wynikające z wykonywania tytułu rzeczoznawcy budowlanego</w:t>
      </w:r>
      <w:r>
        <w:rPr>
          <w:rStyle w:val="Pogrubienie"/>
          <w:rFonts w:ascii="Calibri" w:hAnsi="Calibri" w:cs="Calibri"/>
          <w:b w:val="0"/>
          <w:bCs w:val="0"/>
        </w:rPr>
        <w:t>,</w:t>
      </w:r>
    </w:p>
    <w:p w14:paraId="265BA431" w14:textId="77777777" w:rsidR="00F5212D" w:rsidRPr="003060BB" w:rsidRDefault="00F5212D" w:rsidP="003428A2">
      <w:pPr>
        <w:pStyle w:val="NormalnyWeb"/>
        <w:numPr>
          <w:ilvl w:val="0"/>
          <w:numId w:val="18"/>
        </w:numPr>
        <w:spacing w:before="120" w:beforeAutospacing="0" w:after="120" w:afterAutospacing="0"/>
        <w:ind w:left="993"/>
        <w:jc w:val="both"/>
        <w:rPr>
          <w:rStyle w:val="Pogrubienie"/>
          <w:rFonts w:ascii="Calibri" w:hAnsi="Calibri" w:cs="Calibri"/>
          <w:b w:val="0"/>
          <w:bCs w:val="0"/>
          <w:color w:val="00B050"/>
        </w:rPr>
      </w:pPr>
      <w:r w:rsidRPr="003060BB">
        <w:rPr>
          <w:rStyle w:val="Pogrubienie"/>
          <w:rFonts w:ascii="Calibri" w:hAnsi="Calibri" w:cs="Calibri"/>
          <w:b w:val="0"/>
          <w:bCs w:val="0"/>
          <w:color w:val="00B050"/>
        </w:rPr>
        <w:t xml:space="preserve">Ubezpieczenie obejmuje szkody wynikające z wykonywania czynności majstra budowlanego </w:t>
      </w:r>
    </w:p>
    <w:p w14:paraId="24B6A7E5" w14:textId="77777777" w:rsidR="00F5212D" w:rsidRDefault="00F5212D" w:rsidP="003428A2">
      <w:pPr>
        <w:numPr>
          <w:ilvl w:val="0"/>
          <w:numId w:val="18"/>
        </w:numPr>
        <w:ind w:left="993" w:right="282"/>
        <w:jc w:val="both"/>
        <w:rPr>
          <w:rFonts w:ascii="Times New Roman" w:hAnsi="Times New Roman" w:cs="Times New Roman"/>
          <w:color w:val="00B050"/>
        </w:rPr>
      </w:pPr>
      <w:r w:rsidRPr="003060BB">
        <w:rPr>
          <w:rStyle w:val="Pogrubienie"/>
          <w:rFonts w:ascii="Calibri" w:hAnsi="Calibri" w:cs="Calibri"/>
          <w:b w:val="0"/>
          <w:bCs w:val="0"/>
          <w:color w:val="00B050"/>
        </w:rPr>
        <w:t>Ubezpieczenie obejmuje szkody</w:t>
      </w:r>
      <w:r w:rsidRPr="003060BB">
        <w:rPr>
          <w:rFonts w:ascii="Times New Roman" w:hAnsi="Times New Roman" w:cs="Times New Roman"/>
          <w:color w:val="00B050"/>
        </w:rPr>
        <w:t xml:space="preserve"> powstałe na skutek wykonywania opinii i ekspertyz technicznych zleconych na podstawie postanowień i decyzji organów nadzoru budowlanego.</w:t>
      </w:r>
    </w:p>
    <w:p w14:paraId="0E53C998" w14:textId="77777777" w:rsidR="00F5212D" w:rsidRPr="00E84506" w:rsidRDefault="00F5212D" w:rsidP="003428A2">
      <w:pPr>
        <w:numPr>
          <w:ilvl w:val="0"/>
          <w:numId w:val="18"/>
        </w:numPr>
        <w:spacing w:before="120" w:after="120"/>
        <w:ind w:left="993"/>
        <w:rPr>
          <w:rStyle w:val="Pogrubienie"/>
          <w:rFonts w:ascii="Calibri" w:eastAsia="Arial Unicode MS" w:hAnsi="Calibri" w:cs="Calibri"/>
          <w:b w:val="0"/>
          <w:bCs w:val="0"/>
        </w:rPr>
      </w:pPr>
      <w:r w:rsidRPr="00E84506">
        <w:rPr>
          <w:rStyle w:val="Pogrubienie"/>
          <w:rFonts w:ascii="Calibri" w:eastAsia="Arial Unicode MS" w:hAnsi="Calibri" w:cs="Calibri"/>
          <w:b w:val="0"/>
          <w:bCs w:val="0"/>
        </w:rPr>
        <w:t>Ubezpieczenie obejmuje szkody powstałe wskutek działań wojennych, stanu wojennego, rozruchów, zamieszek a także aktów terroru,</w:t>
      </w:r>
    </w:p>
    <w:p w14:paraId="3F69980C" w14:textId="77777777" w:rsidR="003060BB" w:rsidRPr="00E84506" w:rsidRDefault="003060BB" w:rsidP="003428A2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993"/>
        <w:jc w:val="both"/>
        <w:rPr>
          <w:rStyle w:val="Pogrubienie"/>
          <w:rFonts w:ascii="Calibri" w:hAnsi="Calibri" w:cs="Calibri"/>
          <w:b w:val="0"/>
          <w:bCs w:val="0"/>
        </w:rPr>
      </w:pPr>
      <w:r w:rsidRPr="00E84506">
        <w:rPr>
          <w:rStyle w:val="Pogrubienie"/>
          <w:rFonts w:ascii="Calibri" w:hAnsi="Calibri" w:cs="Calibri"/>
          <w:b w:val="0"/>
          <w:bCs w:val="0"/>
        </w:rPr>
        <w:lastRenderedPageBreak/>
        <w:t xml:space="preserve">Ubezpieczycielowi nie przysługuje prawo regresu w stosunku do Ubezpieczonego lub osób, za które ponosi on odpowiedzialność, także w przypadku szkód wyrządzonych wskutek rażącego niedbalstwa Ubezpieczonego lub osób, za które ponosi on odpowiedzialność, </w:t>
      </w:r>
    </w:p>
    <w:p w14:paraId="50FAD74E" w14:textId="77777777" w:rsidR="003060BB" w:rsidRPr="00E84506" w:rsidRDefault="003060BB" w:rsidP="003428A2">
      <w:pPr>
        <w:numPr>
          <w:ilvl w:val="0"/>
          <w:numId w:val="18"/>
        </w:numPr>
        <w:spacing w:before="120" w:after="120"/>
        <w:ind w:left="993" w:right="282"/>
        <w:jc w:val="both"/>
        <w:rPr>
          <w:rFonts w:ascii="Calibri" w:hAnsi="Calibri"/>
        </w:rPr>
      </w:pPr>
      <w:r w:rsidRPr="00E84506">
        <w:rPr>
          <w:rFonts w:ascii="Calibri" w:hAnsi="Calibri"/>
        </w:rPr>
        <w:t>Ubezpieczenie obejmuje wykonywanie samodzielnych technicznych funkcji w budownictwie także w ramach prowadzonej przez Ubezpieczonego działalności gospodarczej albo zatrudnienia w oparciu o umowę o pracę bądź umowę prawa cywilnego,</w:t>
      </w:r>
    </w:p>
    <w:p w14:paraId="4222A819" w14:textId="77777777" w:rsidR="003060BB" w:rsidRPr="00E84506" w:rsidRDefault="003060BB" w:rsidP="003428A2">
      <w:pPr>
        <w:pStyle w:val="NormalnyWeb"/>
        <w:numPr>
          <w:ilvl w:val="0"/>
          <w:numId w:val="18"/>
        </w:numPr>
        <w:spacing w:before="120" w:beforeAutospacing="0" w:after="120" w:afterAutospacing="0"/>
        <w:ind w:left="993"/>
        <w:jc w:val="both"/>
        <w:rPr>
          <w:rStyle w:val="Pogrubienie"/>
          <w:rFonts w:ascii="Calibri" w:hAnsi="Calibri" w:cs="Calibri"/>
          <w:b w:val="0"/>
          <w:bCs w:val="0"/>
        </w:rPr>
      </w:pPr>
      <w:r w:rsidRPr="00E84506">
        <w:rPr>
          <w:rStyle w:val="Pogrubienie"/>
          <w:rFonts w:ascii="Calibri" w:hAnsi="Calibri" w:cs="Calibri"/>
          <w:b w:val="0"/>
          <w:bCs w:val="0"/>
        </w:rPr>
        <w:t xml:space="preserve">Ubezpieczenie obejmuje </w:t>
      </w:r>
      <w:r w:rsidR="003428A2">
        <w:rPr>
          <w:rStyle w:val="Pogrubienie"/>
          <w:rFonts w:ascii="Calibri" w:hAnsi="Calibri" w:cs="Calibri"/>
          <w:b w:val="0"/>
          <w:bCs w:val="0"/>
        </w:rPr>
        <w:t xml:space="preserve"> </w:t>
      </w:r>
      <w:r w:rsidRPr="00E84506">
        <w:rPr>
          <w:rStyle w:val="Pogrubienie"/>
          <w:rFonts w:ascii="Calibri" w:hAnsi="Calibri" w:cs="Calibri"/>
          <w:b w:val="0"/>
          <w:bCs w:val="0"/>
        </w:rPr>
        <w:t>osoby zatrudnione przez Ubezpieczonego na umowę o pracę lub na podstawie umów prawa cywilnego, wykonujące czynności pod jego nadzorem i w granicach samodzielnych funkcji technicznych w budownictwie wykonywanych przez Ubezpieczonego w ramach posiadanych uprawnień,</w:t>
      </w:r>
    </w:p>
    <w:p w14:paraId="46979BFA" w14:textId="77777777" w:rsidR="003060BB" w:rsidRPr="00E84506" w:rsidRDefault="003060BB" w:rsidP="003428A2">
      <w:pPr>
        <w:pStyle w:val="NormalnyWeb"/>
        <w:numPr>
          <w:ilvl w:val="0"/>
          <w:numId w:val="18"/>
        </w:numPr>
        <w:spacing w:before="120" w:beforeAutospacing="0" w:after="120" w:afterAutospacing="0"/>
        <w:ind w:left="993"/>
        <w:jc w:val="both"/>
        <w:rPr>
          <w:rStyle w:val="Pogrubienie"/>
          <w:rFonts w:ascii="Calibri" w:hAnsi="Calibri" w:cs="Calibri"/>
          <w:b w:val="0"/>
          <w:bCs w:val="0"/>
        </w:rPr>
      </w:pPr>
      <w:r w:rsidRPr="00E84506">
        <w:rPr>
          <w:rStyle w:val="Pogrubienie"/>
          <w:rFonts w:ascii="Calibri" w:hAnsi="Calibri" w:cs="Calibri"/>
          <w:b w:val="0"/>
          <w:bCs w:val="0"/>
        </w:rPr>
        <w:t>Ubezpieczenie obejmuje szkody wyrządzone przez Ubezpieczonego osobom fizycznym zatrudnionym przez Ubezpieczonego na podstawie umowy o pracę (pracownikom) lub wykonującym roboty lub usługi na rzecz Ubezpieczonego na podstawie umowy prawa cywilnego, powstałe w związku ze świadczeniem pracy, robót lub usług na rzecz Ubezpieczonego,</w:t>
      </w:r>
    </w:p>
    <w:p w14:paraId="414797F1" w14:textId="77777777" w:rsidR="003060BB" w:rsidRPr="00E84506" w:rsidRDefault="003060BB" w:rsidP="003060BB">
      <w:pPr>
        <w:pStyle w:val="Akapitzlist"/>
        <w:rPr>
          <w:rStyle w:val="Pogrubienie"/>
          <w:rFonts w:ascii="Calibri" w:hAnsi="Calibri" w:cs="Calibri"/>
          <w:b w:val="0"/>
          <w:bCs w:val="0"/>
        </w:rPr>
      </w:pPr>
    </w:p>
    <w:p w14:paraId="729CD562" w14:textId="77777777" w:rsidR="003060BB" w:rsidRDefault="003060BB" w:rsidP="00F5212D">
      <w:pPr>
        <w:pStyle w:val="Akapitzlist"/>
        <w:numPr>
          <w:ilvl w:val="0"/>
          <w:numId w:val="16"/>
        </w:numPr>
        <w:rPr>
          <w:rStyle w:val="Pogrubienie"/>
          <w:rFonts w:ascii="Calibri" w:hAnsi="Calibri" w:cs="Calibri"/>
        </w:rPr>
      </w:pPr>
      <w:r w:rsidRPr="00E84506">
        <w:rPr>
          <w:rStyle w:val="Pogrubienie"/>
          <w:rFonts w:ascii="Calibri" w:hAnsi="Calibri" w:cs="Calibri"/>
        </w:rPr>
        <w:t>Wyłączenia ochrony ubezpieczeniowej</w:t>
      </w:r>
      <w:r w:rsidR="003428A2">
        <w:rPr>
          <w:rStyle w:val="Pogrubienie"/>
          <w:rFonts w:ascii="Calibri" w:hAnsi="Calibri" w:cs="Calibri"/>
        </w:rPr>
        <w:t xml:space="preserve"> </w:t>
      </w:r>
    </w:p>
    <w:p w14:paraId="05B312D5" w14:textId="77777777" w:rsidR="003428A2" w:rsidRPr="00E84506" w:rsidRDefault="003428A2" w:rsidP="003428A2">
      <w:pPr>
        <w:pStyle w:val="Akapitzlist"/>
        <w:rPr>
          <w:rStyle w:val="Pogrubienie"/>
          <w:rFonts w:ascii="Calibri" w:hAnsi="Calibri" w:cs="Calibri"/>
        </w:rPr>
      </w:pPr>
    </w:p>
    <w:p w14:paraId="41E61D2B" w14:textId="77777777" w:rsidR="003060BB" w:rsidRPr="00F5212D" w:rsidRDefault="003428A2" w:rsidP="003428A2">
      <w:pPr>
        <w:numPr>
          <w:ilvl w:val="0"/>
          <w:numId w:val="13"/>
        </w:numPr>
        <w:ind w:left="993" w:right="282"/>
        <w:jc w:val="both"/>
        <w:rPr>
          <w:rStyle w:val="Pogrubienie"/>
          <w:rFonts w:ascii="Calibri" w:hAnsi="Calibri" w:cs="Calibri"/>
          <w:b w:val="0"/>
          <w:bCs w:val="0"/>
        </w:rPr>
      </w:pPr>
      <w:r>
        <w:rPr>
          <w:rStyle w:val="Pogrubienie"/>
          <w:rFonts w:ascii="Calibri" w:hAnsi="Calibri" w:cs="Calibri"/>
          <w:b w:val="0"/>
          <w:bCs w:val="0"/>
        </w:rPr>
        <w:t>Ubezpieczenie nie obejmuje szkód</w:t>
      </w:r>
      <w:r w:rsidR="00F5212D">
        <w:rPr>
          <w:rStyle w:val="Pogrubienie"/>
          <w:rFonts w:ascii="Calibri" w:hAnsi="Calibri" w:cs="Calibri"/>
          <w:b w:val="0"/>
          <w:bCs w:val="0"/>
        </w:rPr>
        <w:t xml:space="preserve"> </w:t>
      </w:r>
      <w:r w:rsidR="00F5212D" w:rsidRPr="00F5212D">
        <w:rPr>
          <w:rStyle w:val="Pogrubienie"/>
          <w:rFonts w:ascii="Calibri" w:hAnsi="Calibri" w:cs="Calibri"/>
          <w:b w:val="0"/>
          <w:bCs w:val="0"/>
        </w:rPr>
        <w:t>wynikł</w:t>
      </w:r>
      <w:r>
        <w:rPr>
          <w:rStyle w:val="Pogrubienie"/>
          <w:rFonts w:ascii="Calibri" w:hAnsi="Calibri" w:cs="Calibri"/>
          <w:b w:val="0"/>
          <w:bCs w:val="0"/>
        </w:rPr>
        <w:t>ych</w:t>
      </w:r>
      <w:r w:rsidR="00F5212D" w:rsidRPr="00F5212D">
        <w:rPr>
          <w:rStyle w:val="Pogrubienie"/>
          <w:rFonts w:ascii="Calibri" w:hAnsi="Calibri" w:cs="Calibri"/>
          <w:b w:val="0"/>
          <w:bCs w:val="0"/>
        </w:rPr>
        <w:t xml:space="preserve"> z przekroczenia ustalonych kosztów,  </w:t>
      </w:r>
      <w:r w:rsidR="00F5212D" w:rsidRPr="00F5212D">
        <w:rPr>
          <w:rFonts w:cstheme="minorHAnsi"/>
          <w:color w:val="00B050"/>
        </w:rPr>
        <w:t>przy czym za przekroczenie ustalonych kosztów nie uznaje się wzrostu kosztów inwestycji, które by nie powstały, gdyby  nie popełniono  błędu będącego następstwem wykonywania przez ubezpieczonego zawodu</w:t>
      </w:r>
      <w:r w:rsidR="00F5212D" w:rsidRPr="00F5212D">
        <w:rPr>
          <w:rFonts w:cstheme="minorHAnsi"/>
          <w:b/>
          <w:color w:val="00B050"/>
        </w:rPr>
        <w:t>,</w:t>
      </w:r>
    </w:p>
    <w:p w14:paraId="33F9BF68" w14:textId="77777777" w:rsidR="003060BB" w:rsidRPr="00E84506" w:rsidRDefault="003428A2" w:rsidP="003428A2">
      <w:pPr>
        <w:pStyle w:val="NormalnyWeb"/>
        <w:numPr>
          <w:ilvl w:val="0"/>
          <w:numId w:val="13"/>
        </w:numPr>
        <w:ind w:left="993"/>
        <w:jc w:val="both"/>
        <w:rPr>
          <w:rStyle w:val="Pogrubienie"/>
          <w:rFonts w:ascii="Calibri" w:hAnsi="Calibri" w:cs="Calibri"/>
          <w:b w:val="0"/>
          <w:bCs w:val="0"/>
        </w:rPr>
      </w:pPr>
      <w:r>
        <w:rPr>
          <w:rStyle w:val="Pogrubienie"/>
          <w:rFonts w:ascii="Calibri" w:hAnsi="Calibri" w:cs="Calibri"/>
          <w:b w:val="0"/>
          <w:bCs w:val="0"/>
        </w:rPr>
        <w:t xml:space="preserve"> Ubezpieczenie nie obejmuje szkód</w:t>
      </w:r>
      <w:r w:rsidR="00F5212D">
        <w:rPr>
          <w:rStyle w:val="Pogrubienie"/>
          <w:rFonts w:ascii="Calibri" w:hAnsi="Calibri" w:cs="Calibri"/>
          <w:b w:val="0"/>
          <w:bCs w:val="0"/>
        </w:rPr>
        <w:t xml:space="preserve"> </w:t>
      </w:r>
      <w:r w:rsidR="00F5212D" w:rsidRPr="00E84506">
        <w:rPr>
          <w:rStyle w:val="Pogrubienie"/>
          <w:rFonts w:ascii="Calibri" w:hAnsi="Calibri" w:cs="Calibri"/>
          <w:b w:val="0"/>
          <w:bCs w:val="0"/>
        </w:rPr>
        <w:t>powstał</w:t>
      </w:r>
      <w:r>
        <w:rPr>
          <w:rStyle w:val="Pogrubienie"/>
          <w:rFonts w:ascii="Calibri" w:hAnsi="Calibri" w:cs="Calibri"/>
          <w:b w:val="0"/>
          <w:bCs w:val="0"/>
        </w:rPr>
        <w:t>ych</w:t>
      </w:r>
      <w:r w:rsidR="00F5212D" w:rsidRPr="00E84506">
        <w:rPr>
          <w:rStyle w:val="Pogrubienie"/>
          <w:rFonts w:ascii="Calibri" w:hAnsi="Calibri" w:cs="Calibri"/>
          <w:b w:val="0"/>
          <w:bCs w:val="0"/>
        </w:rPr>
        <w:t xml:space="preserve"> w wyniku nałożenia kar umownych,</w:t>
      </w:r>
    </w:p>
    <w:p w14:paraId="0F30C8E2" w14:textId="77777777" w:rsidR="003060BB" w:rsidRPr="00E84506" w:rsidRDefault="003428A2" w:rsidP="003428A2">
      <w:pPr>
        <w:pStyle w:val="NormalnyWeb"/>
        <w:numPr>
          <w:ilvl w:val="0"/>
          <w:numId w:val="13"/>
        </w:numPr>
        <w:ind w:left="993"/>
        <w:jc w:val="both"/>
        <w:rPr>
          <w:rStyle w:val="Pogrubienie"/>
          <w:rFonts w:ascii="Calibri" w:hAnsi="Calibri" w:cs="Calibri"/>
          <w:b w:val="0"/>
          <w:bCs w:val="0"/>
        </w:rPr>
      </w:pPr>
      <w:r>
        <w:rPr>
          <w:rStyle w:val="Pogrubienie"/>
          <w:rFonts w:ascii="Calibri" w:hAnsi="Calibri" w:cs="Calibri"/>
          <w:b w:val="0"/>
          <w:bCs w:val="0"/>
        </w:rPr>
        <w:t xml:space="preserve"> Ubezpieczenie nie obejmuje szkód </w:t>
      </w:r>
      <w:r w:rsidR="00F5212D" w:rsidRPr="00E84506">
        <w:rPr>
          <w:rStyle w:val="Pogrubienie"/>
          <w:rFonts w:ascii="Calibri" w:hAnsi="Calibri" w:cs="Calibri"/>
          <w:b w:val="0"/>
          <w:bCs w:val="0"/>
        </w:rPr>
        <w:t>wyrządzon</w:t>
      </w:r>
      <w:r>
        <w:rPr>
          <w:rStyle w:val="Pogrubienie"/>
          <w:rFonts w:ascii="Calibri" w:hAnsi="Calibri" w:cs="Calibri"/>
          <w:b w:val="0"/>
          <w:bCs w:val="0"/>
        </w:rPr>
        <w:t>ych</w:t>
      </w:r>
      <w:r w:rsidR="00F5212D" w:rsidRPr="00E84506">
        <w:rPr>
          <w:rStyle w:val="Pogrubienie"/>
          <w:rFonts w:ascii="Calibri" w:hAnsi="Calibri" w:cs="Calibri"/>
          <w:b w:val="0"/>
          <w:bCs w:val="0"/>
        </w:rPr>
        <w:t xml:space="preserve"> wskutek naruszenia praw autorskich i patentów,</w:t>
      </w:r>
    </w:p>
    <w:p w14:paraId="5D97403F" w14:textId="77777777" w:rsidR="003060BB" w:rsidRPr="00E84506" w:rsidRDefault="003428A2" w:rsidP="003428A2">
      <w:pPr>
        <w:pStyle w:val="NormalnyWeb"/>
        <w:numPr>
          <w:ilvl w:val="0"/>
          <w:numId w:val="13"/>
        </w:numPr>
        <w:ind w:left="993"/>
        <w:jc w:val="both"/>
        <w:rPr>
          <w:rStyle w:val="Pogrubienie"/>
          <w:rFonts w:ascii="Calibri" w:hAnsi="Calibri" w:cs="Calibri"/>
          <w:b w:val="0"/>
          <w:bCs w:val="0"/>
        </w:rPr>
      </w:pPr>
      <w:r>
        <w:rPr>
          <w:rStyle w:val="Pogrubienie"/>
          <w:rFonts w:ascii="Calibri" w:hAnsi="Calibri" w:cs="Calibri"/>
          <w:b w:val="0"/>
          <w:bCs w:val="0"/>
        </w:rPr>
        <w:t xml:space="preserve"> Ubezpieczenie nie obejmuje szkód </w:t>
      </w:r>
      <w:r w:rsidR="00F5212D" w:rsidRPr="00E84506">
        <w:rPr>
          <w:rStyle w:val="Pogrubienie"/>
          <w:rFonts w:ascii="Calibri" w:hAnsi="Calibri" w:cs="Calibri"/>
          <w:b w:val="0"/>
          <w:bCs w:val="0"/>
        </w:rPr>
        <w:t>powstał</w:t>
      </w:r>
      <w:r>
        <w:rPr>
          <w:rStyle w:val="Pogrubienie"/>
          <w:rFonts w:ascii="Calibri" w:hAnsi="Calibri" w:cs="Calibri"/>
          <w:b w:val="0"/>
          <w:bCs w:val="0"/>
        </w:rPr>
        <w:t>ych</w:t>
      </w:r>
      <w:r w:rsidR="00F5212D" w:rsidRPr="00E84506">
        <w:rPr>
          <w:rStyle w:val="Pogrubienie"/>
          <w:rFonts w:ascii="Calibri" w:hAnsi="Calibri" w:cs="Calibri"/>
          <w:b w:val="0"/>
          <w:bCs w:val="0"/>
        </w:rPr>
        <w:t xml:space="preserve"> w wyniku normalnego zużycia lub wadliwej eksploatacji obiektów budowlanych,</w:t>
      </w:r>
    </w:p>
    <w:p w14:paraId="0E8888EE" w14:textId="77777777" w:rsidR="003060BB" w:rsidRDefault="003428A2" w:rsidP="003428A2">
      <w:pPr>
        <w:pStyle w:val="NormalnyWeb"/>
        <w:numPr>
          <w:ilvl w:val="0"/>
          <w:numId w:val="13"/>
        </w:numPr>
        <w:ind w:left="993"/>
        <w:jc w:val="both"/>
        <w:rPr>
          <w:rStyle w:val="Pogrubienie"/>
          <w:rFonts w:ascii="Calibri" w:hAnsi="Calibri" w:cs="Calibri"/>
          <w:b w:val="0"/>
          <w:bCs w:val="0"/>
        </w:rPr>
      </w:pPr>
      <w:r>
        <w:rPr>
          <w:rStyle w:val="Pogrubienie"/>
          <w:rFonts w:ascii="Calibri" w:hAnsi="Calibri" w:cs="Calibri"/>
          <w:b w:val="0"/>
          <w:bCs w:val="0"/>
        </w:rPr>
        <w:t xml:space="preserve"> </w:t>
      </w:r>
      <w:r w:rsidR="00F5212D">
        <w:rPr>
          <w:rStyle w:val="Pogrubienie"/>
          <w:rFonts w:ascii="Calibri" w:hAnsi="Calibri" w:cs="Calibri"/>
          <w:b w:val="0"/>
          <w:bCs w:val="0"/>
        </w:rPr>
        <w:t xml:space="preserve"> </w:t>
      </w:r>
      <w:r>
        <w:rPr>
          <w:rStyle w:val="Pogrubienie"/>
          <w:rFonts w:ascii="Calibri" w:hAnsi="Calibri" w:cs="Calibri"/>
          <w:b w:val="0"/>
          <w:bCs w:val="0"/>
        </w:rPr>
        <w:t xml:space="preserve">Ubezpieczenie nie obejmuje szkód </w:t>
      </w:r>
      <w:r w:rsidR="00F5212D" w:rsidRPr="00E84506">
        <w:rPr>
          <w:rStyle w:val="Pogrubienie"/>
          <w:rFonts w:ascii="Calibri" w:hAnsi="Calibri" w:cs="Calibri"/>
          <w:b w:val="0"/>
          <w:bCs w:val="0"/>
        </w:rPr>
        <w:t xml:space="preserve">powstałych po skreśleniu ubezpieczonego z listy członków </w:t>
      </w:r>
      <w:r>
        <w:rPr>
          <w:rStyle w:val="Pogrubienie"/>
          <w:rFonts w:ascii="Calibri" w:hAnsi="Calibri" w:cs="Calibri"/>
          <w:b w:val="0"/>
          <w:bCs w:val="0"/>
        </w:rPr>
        <w:t>PIIB</w:t>
      </w:r>
      <w:r w:rsidR="00F5212D" w:rsidRPr="00E84506">
        <w:rPr>
          <w:rStyle w:val="Pogrubienie"/>
          <w:rFonts w:ascii="Calibri" w:hAnsi="Calibri" w:cs="Calibri"/>
          <w:b w:val="0"/>
          <w:bCs w:val="0"/>
        </w:rPr>
        <w:t xml:space="preserve"> a także w okresie zawieszenia w prawach członka </w:t>
      </w:r>
      <w:r>
        <w:rPr>
          <w:rStyle w:val="Pogrubienie"/>
          <w:rFonts w:ascii="Calibri" w:hAnsi="Calibri" w:cs="Calibri"/>
          <w:b w:val="0"/>
          <w:bCs w:val="0"/>
        </w:rPr>
        <w:t>PIIB</w:t>
      </w:r>
      <w:r w:rsidR="00F5212D" w:rsidRPr="00E84506">
        <w:rPr>
          <w:rStyle w:val="Pogrubienie"/>
          <w:rFonts w:ascii="Calibri" w:hAnsi="Calibri" w:cs="Calibri"/>
          <w:b w:val="0"/>
          <w:bCs w:val="0"/>
        </w:rPr>
        <w:t>, chyba że szkoda jest następstwem wykonywania samodzielnych funkcji technicznych w budownictwie przed skreśleniem lub zawieszeniem.</w:t>
      </w:r>
    </w:p>
    <w:p w14:paraId="26F9D659" w14:textId="77777777" w:rsidR="00F5212D" w:rsidRPr="00E84506" w:rsidRDefault="003428A2" w:rsidP="003428A2">
      <w:pPr>
        <w:pStyle w:val="NormalnyWeb"/>
        <w:numPr>
          <w:ilvl w:val="0"/>
          <w:numId w:val="13"/>
        </w:numPr>
        <w:ind w:left="993"/>
        <w:jc w:val="both"/>
        <w:rPr>
          <w:rStyle w:val="Pogrubienie"/>
          <w:rFonts w:ascii="Calibri" w:hAnsi="Calibri" w:cs="Calibri"/>
          <w:b w:val="0"/>
          <w:bCs w:val="0"/>
        </w:rPr>
      </w:pPr>
      <w:r>
        <w:rPr>
          <w:rStyle w:val="Pogrubienie"/>
          <w:rFonts w:ascii="Calibri" w:hAnsi="Calibri" w:cs="Calibri"/>
          <w:b w:val="0"/>
          <w:bCs w:val="0"/>
        </w:rPr>
        <w:t xml:space="preserve"> Ubezpieczenie nie obejmuje szkód</w:t>
      </w:r>
      <w:r w:rsidR="00F5212D">
        <w:rPr>
          <w:rStyle w:val="Pogrubienie"/>
          <w:rFonts w:ascii="Calibri" w:hAnsi="Calibri" w:cs="Calibri"/>
          <w:b w:val="0"/>
          <w:bCs w:val="0"/>
        </w:rPr>
        <w:t xml:space="preserve"> powstał</w:t>
      </w:r>
      <w:r>
        <w:rPr>
          <w:rStyle w:val="Pogrubienie"/>
          <w:rFonts w:ascii="Calibri" w:hAnsi="Calibri" w:cs="Calibri"/>
          <w:b w:val="0"/>
          <w:bCs w:val="0"/>
        </w:rPr>
        <w:t>ych</w:t>
      </w:r>
      <w:r w:rsidR="00F5212D">
        <w:rPr>
          <w:rStyle w:val="Pogrubienie"/>
          <w:rFonts w:ascii="Calibri" w:hAnsi="Calibri" w:cs="Calibri"/>
          <w:b w:val="0"/>
          <w:bCs w:val="0"/>
        </w:rPr>
        <w:t xml:space="preserve"> z winy umyślnej ubezpieczonego</w:t>
      </w:r>
    </w:p>
    <w:p w14:paraId="59A0DD89" w14:textId="77777777" w:rsidR="003060BB" w:rsidRPr="003428A2" w:rsidRDefault="003060BB" w:rsidP="003428A2">
      <w:pPr>
        <w:pStyle w:val="Akapitzlist"/>
        <w:numPr>
          <w:ilvl w:val="0"/>
          <w:numId w:val="15"/>
        </w:numPr>
        <w:ind w:left="709"/>
        <w:rPr>
          <w:rStyle w:val="Pogrubienie"/>
          <w:rFonts w:ascii="Calibri" w:eastAsia="Arial Unicode MS" w:hAnsi="Calibri" w:cs="Calibri"/>
          <w:bCs w:val="0"/>
          <w:u w:val="single"/>
        </w:rPr>
      </w:pPr>
      <w:r w:rsidRPr="003428A2">
        <w:rPr>
          <w:rStyle w:val="Pogrubienie"/>
          <w:rFonts w:ascii="Calibri" w:eastAsia="Arial Unicode MS" w:hAnsi="Calibri" w:cs="Calibri"/>
          <w:bCs w:val="0"/>
          <w:u w:val="single"/>
        </w:rPr>
        <w:t xml:space="preserve"> Ubezpieczenie odpowiedzialności cywilnej w życiu prywatnym</w:t>
      </w:r>
    </w:p>
    <w:p w14:paraId="0B5FBC5F" w14:textId="77777777" w:rsidR="003060BB" w:rsidRPr="00E84506" w:rsidRDefault="003060BB" w:rsidP="003060BB">
      <w:pPr>
        <w:pStyle w:val="NormalnyWeb"/>
        <w:spacing w:before="0" w:beforeAutospacing="0" w:after="120" w:afterAutospacing="0"/>
        <w:jc w:val="both"/>
        <w:outlineLvl w:val="0"/>
        <w:rPr>
          <w:rStyle w:val="Pogrubienie"/>
          <w:rFonts w:ascii="Calibri" w:hAnsi="Calibri" w:cs="Calibri"/>
          <w:bCs w:val="0"/>
          <w:u w:val="single"/>
        </w:rPr>
      </w:pPr>
    </w:p>
    <w:p w14:paraId="72CA35B1" w14:textId="3F4C5E78" w:rsidR="003060BB" w:rsidRPr="00E84506" w:rsidRDefault="003060BB" w:rsidP="003428A2">
      <w:pPr>
        <w:pStyle w:val="NormalnyWeb"/>
        <w:numPr>
          <w:ilvl w:val="0"/>
          <w:numId w:val="19"/>
        </w:numPr>
        <w:spacing w:before="0" w:beforeAutospacing="0" w:after="120" w:afterAutospacing="0"/>
        <w:jc w:val="both"/>
        <w:outlineLvl w:val="0"/>
        <w:rPr>
          <w:rStyle w:val="Pogrubienie"/>
          <w:rFonts w:ascii="Calibri" w:hAnsi="Calibri" w:cs="Calibri"/>
          <w:b w:val="0"/>
        </w:rPr>
      </w:pPr>
      <w:r w:rsidRPr="00E84506">
        <w:rPr>
          <w:rStyle w:val="Pogrubienie"/>
          <w:rFonts w:ascii="Calibri" w:hAnsi="Calibri" w:cs="Calibri"/>
        </w:rPr>
        <w:t xml:space="preserve">Warunki ubezpieczenia: </w:t>
      </w:r>
      <w:r w:rsidRPr="00E84506">
        <w:rPr>
          <w:rStyle w:val="Pogrubienie"/>
          <w:rFonts w:ascii="Calibri" w:hAnsi="Calibri" w:cs="Calibri"/>
          <w:b w:val="0"/>
        </w:rPr>
        <w:t>Ogólne Warunki Ubezpieczenia odpowiedzialności cywilnej osób fizycznych  w życiu prywatnym z dnia  24 września 2018 r</w:t>
      </w:r>
      <w:r w:rsidR="00A2673B">
        <w:rPr>
          <w:rStyle w:val="Pogrubienie"/>
          <w:rFonts w:ascii="Calibri" w:hAnsi="Calibri" w:cs="Calibri"/>
          <w:b w:val="0"/>
        </w:rPr>
        <w:t>.</w:t>
      </w:r>
    </w:p>
    <w:p w14:paraId="527AB572" w14:textId="77777777" w:rsidR="003060BB" w:rsidRPr="00156052" w:rsidRDefault="003060BB" w:rsidP="003428A2">
      <w:pPr>
        <w:pStyle w:val="NormalnyWeb"/>
        <w:numPr>
          <w:ilvl w:val="0"/>
          <w:numId w:val="19"/>
        </w:numPr>
        <w:spacing w:before="0" w:beforeAutospacing="0" w:after="120" w:afterAutospacing="0"/>
        <w:jc w:val="both"/>
        <w:outlineLvl w:val="0"/>
        <w:rPr>
          <w:rStyle w:val="Pogrubienie"/>
          <w:rFonts w:ascii="Calibri" w:hAnsi="Calibri" w:cs="Calibri"/>
          <w:b w:val="0"/>
          <w:bCs w:val="0"/>
          <w:color w:val="262626" w:themeColor="text1" w:themeTint="D9"/>
        </w:rPr>
      </w:pPr>
      <w:r w:rsidRPr="00E84506">
        <w:rPr>
          <w:rStyle w:val="Pogrubienie"/>
          <w:rFonts w:ascii="Calibri" w:hAnsi="Calibri" w:cs="Calibri"/>
        </w:rPr>
        <w:t>Suma gwarancyjna:</w:t>
      </w:r>
      <w:r>
        <w:rPr>
          <w:rStyle w:val="Pogrubienie"/>
          <w:rFonts w:ascii="Calibri" w:hAnsi="Calibri" w:cs="Calibri"/>
        </w:rPr>
        <w:t xml:space="preserve"> </w:t>
      </w:r>
      <w:r w:rsidRPr="00156052">
        <w:rPr>
          <w:rStyle w:val="Pogrubienie"/>
          <w:rFonts w:ascii="Calibri" w:hAnsi="Calibri" w:cs="Calibri"/>
          <w:b w:val="0"/>
          <w:bCs w:val="0"/>
          <w:color w:val="262626" w:themeColor="text1" w:themeTint="D9"/>
        </w:rPr>
        <w:t>1.000.000 PLN na jeden i wszystkie wypadki w okresie ubezpieczenia na wszystkich Ubezpieczonych łącznie</w:t>
      </w:r>
    </w:p>
    <w:p w14:paraId="488FB0DA" w14:textId="77777777" w:rsidR="003060BB" w:rsidRPr="003428A2" w:rsidRDefault="003060BB" w:rsidP="003428A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</w:rPr>
      </w:pPr>
      <w:r w:rsidRPr="003428A2">
        <w:rPr>
          <w:rFonts w:ascii="Calibri" w:hAnsi="Calibri" w:cs="Calibri"/>
          <w:b/>
        </w:rPr>
        <w:t xml:space="preserve">Przedmiot i zakres ubezpieczenia:  </w:t>
      </w:r>
    </w:p>
    <w:p w14:paraId="4B807E40" w14:textId="77777777" w:rsidR="003060BB" w:rsidRPr="00E84506" w:rsidRDefault="003060BB" w:rsidP="003428A2">
      <w:pPr>
        <w:pStyle w:val="NormalnyWeb"/>
        <w:spacing w:before="120" w:beforeAutospacing="0" w:after="120" w:afterAutospacing="0"/>
        <w:ind w:left="709"/>
        <w:jc w:val="both"/>
        <w:rPr>
          <w:rStyle w:val="Pogrubienie"/>
          <w:rFonts w:ascii="Calibri" w:hAnsi="Calibri" w:cs="Calibri"/>
          <w:b w:val="0"/>
          <w:bCs w:val="0"/>
          <w:color w:val="auto"/>
        </w:rPr>
      </w:pPr>
      <w:r w:rsidRPr="00E84506">
        <w:rPr>
          <w:rStyle w:val="Pogrubienie"/>
          <w:rFonts w:ascii="Calibri" w:hAnsi="Calibri" w:cs="Calibri"/>
          <w:b w:val="0"/>
          <w:bCs w:val="0"/>
          <w:color w:val="auto"/>
        </w:rPr>
        <w:lastRenderedPageBreak/>
        <w:t>Ubezpieczenie odpowiedzialności cywilnej w życiu prywatnym członków PIIB obejmuje szkody w mieniu  i na osobie  wyrządzone osobom trzecim w związku z wykonywaniem czynności życia codziennego, w tym m.in.:</w:t>
      </w:r>
    </w:p>
    <w:p w14:paraId="1B783C09" w14:textId="77777777" w:rsidR="003060BB" w:rsidRPr="00E84506" w:rsidRDefault="003060BB" w:rsidP="003428A2">
      <w:pPr>
        <w:pStyle w:val="NormalnyWeb"/>
        <w:numPr>
          <w:ilvl w:val="0"/>
          <w:numId w:val="20"/>
        </w:numPr>
        <w:spacing w:before="120" w:beforeAutospacing="0" w:after="120" w:afterAutospacing="0"/>
        <w:ind w:left="1134"/>
        <w:jc w:val="both"/>
        <w:rPr>
          <w:rStyle w:val="Pogrubienie"/>
          <w:rFonts w:ascii="Calibri" w:hAnsi="Calibri" w:cs="Calibri"/>
          <w:b w:val="0"/>
          <w:bCs w:val="0"/>
        </w:rPr>
      </w:pPr>
      <w:r w:rsidRPr="00E84506">
        <w:rPr>
          <w:rStyle w:val="Pogrubienie"/>
          <w:rFonts w:ascii="Calibri" w:hAnsi="Calibri" w:cs="Calibri"/>
          <w:b w:val="0"/>
          <w:bCs w:val="0"/>
        </w:rPr>
        <w:t>posiadaniem i użytkowanie nieruchomości,</w:t>
      </w:r>
    </w:p>
    <w:p w14:paraId="6EA3F67D" w14:textId="77777777" w:rsidR="003060BB" w:rsidRPr="00E84506" w:rsidRDefault="003060BB" w:rsidP="003428A2">
      <w:pPr>
        <w:pStyle w:val="NormalnyWeb"/>
        <w:numPr>
          <w:ilvl w:val="0"/>
          <w:numId w:val="20"/>
        </w:numPr>
        <w:spacing w:before="120" w:beforeAutospacing="0" w:after="120" w:afterAutospacing="0"/>
        <w:ind w:left="1134"/>
        <w:jc w:val="both"/>
        <w:rPr>
          <w:rStyle w:val="Pogrubienie"/>
          <w:rFonts w:ascii="Calibri" w:hAnsi="Calibri" w:cs="Calibri"/>
          <w:b w:val="0"/>
          <w:bCs w:val="0"/>
        </w:rPr>
      </w:pPr>
      <w:r w:rsidRPr="00E84506">
        <w:rPr>
          <w:rStyle w:val="Pogrubienie"/>
          <w:rFonts w:ascii="Calibri" w:hAnsi="Calibri" w:cs="Calibri"/>
          <w:b w:val="0"/>
          <w:bCs w:val="0"/>
        </w:rPr>
        <w:t>prowadzeniem podstawowego gospodarstwa domowego,</w:t>
      </w:r>
    </w:p>
    <w:p w14:paraId="233415B8" w14:textId="77777777" w:rsidR="003060BB" w:rsidRPr="00E84506" w:rsidRDefault="003060BB" w:rsidP="003428A2">
      <w:pPr>
        <w:pStyle w:val="NormalnyWeb"/>
        <w:numPr>
          <w:ilvl w:val="0"/>
          <w:numId w:val="20"/>
        </w:numPr>
        <w:spacing w:before="120" w:beforeAutospacing="0" w:after="120" w:afterAutospacing="0"/>
        <w:ind w:left="1134"/>
        <w:jc w:val="both"/>
        <w:rPr>
          <w:rStyle w:val="Pogrubienie"/>
          <w:rFonts w:ascii="Calibri" w:hAnsi="Calibri"/>
          <w:b w:val="0"/>
        </w:rPr>
      </w:pPr>
      <w:r w:rsidRPr="00E84506">
        <w:rPr>
          <w:rStyle w:val="Pogrubienie"/>
          <w:rFonts w:ascii="Calibri" w:hAnsi="Calibri"/>
          <w:b w:val="0"/>
        </w:rPr>
        <w:t>posiadaniem zwierząt domowych (w tym psów),</w:t>
      </w:r>
    </w:p>
    <w:p w14:paraId="2031F482" w14:textId="77777777" w:rsidR="003060BB" w:rsidRDefault="003060BB" w:rsidP="003428A2">
      <w:pPr>
        <w:pStyle w:val="NormalnyWeb"/>
        <w:numPr>
          <w:ilvl w:val="0"/>
          <w:numId w:val="20"/>
        </w:numPr>
        <w:spacing w:before="120" w:beforeAutospacing="0" w:after="120" w:afterAutospacing="0"/>
        <w:ind w:left="1134"/>
        <w:jc w:val="both"/>
        <w:rPr>
          <w:rStyle w:val="Pogrubienie"/>
          <w:rFonts w:ascii="Calibri" w:hAnsi="Calibri"/>
          <w:b w:val="0"/>
        </w:rPr>
      </w:pPr>
      <w:r w:rsidRPr="00E84506">
        <w:rPr>
          <w:rStyle w:val="Pogrubienie"/>
          <w:rFonts w:ascii="Calibri" w:hAnsi="Calibri"/>
          <w:b w:val="0"/>
        </w:rPr>
        <w:t>amatorskim uprawianiem sportów.</w:t>
      </w:r>
    </w:p>
    <w:p w14:paraId="377DEFB3" w14:textId="77777777" w:rsidR="004B6AC0" w:rsidRPr="004B6AC0" w:rsidRDefault="004B6AC0" w:rsidP="004B6AC0">
      <w:pPr>
        <w:pStyle w:val="NormalnyWeb"/>
        <w:spacing w:before="120" w:beforeAutospacing="0" w:after="120" w:afterAutospacing="0"/>
        <w:ind w:left="1134"/>
        <w:jc w:val="both"/>
        <w:rPr>
          <w:rStyle w:val="Pogrubienie"/>
          <w:rFonts w:asciiTheme="minorHAnsi" w:hAnsiTheme="minorHAnsi" w:cstheme="minorHAnsi"/>
          <w:b w:val="0"/>
          <w:color w:val="538135" w:themeColor="accent6" w:themeShade="BF"/>
        </w:rPr>
      </w:pPr>
    </w:p>
    <w:p w14:paraId="75618303" w14:textId="77777777" w:rsidR="003060BB" w:rsidRPr="00E84506" w:rsidRDefault="003060BB" w:rsidP="003428A2">
      <w:pPr>
        <w:pStyle w:val="NormalnyWeb"/>
        <w:spacing w:before="120" w:beforeAutospacing="0" w:after="120" w:afterAutospacing="0"/>
        <w:ind w:left="709"/>
        <w:jc w:val="both"/>
        <w:rPr>
          <w:rStyle w:val="Pogrubienie"/>
          <w:rFonts w:ascii="Calibri" w:hAnsi="Calibri"/>
          <w:b w:val="0"/>
        </w:rPr>
      </w:pPr>
      <w:r w:rsidRPr="00E84506">
        <w:rPr>
          <w:rStyle w:val="Pogrubienie"/>
          <w:rFonts w:ascii="Calibri" w:hAnsi="Calibri"/>
          <w:b w:val="0"/>
        </w:rPr>
        <w:t>Ponadto:</w:t>
      </w:r>
    </w:p>
    <w:p w14:paraId="38EBF3E4" w14:textId="77777777" w:rsidR="003060BB" w:rsidRPr="00E84506" w:rsidRDefault="003060BB" w:rsidP="003428A2">
      <w:pPr>
        <w:pStyle w:val="NormalnyWeb"/>
        <w:numPr>
          <w:ilvl w:val="0"/>
          <w:numId w:val="21"/>
        </w:numPr>
        <w:tabs>
          <w:tab w:val="left" w:pos="426"/>
        </w:tabs>
        <w:spacing w:before="120" w:beforeAutospacing="0" w:after="120" w:afterAutospacing="0"/>
        <w:ind w:left="1134"/>
        <w:jc w:val="both"/>
        <w:rPr>
          <w:rStyle w:val="Pogrubienie"/>
          <w:rFonts w:ascii="Calibri" w:hAnsi="Calibri" w:cs="Calibri"/>
          <w:b w:val="0"/>
        </w:rPr>
      </w:pPr>
      <w:r w:rsidRPr="00E84506">
        <w:rPr>
          <w:rStyle w:val="Pogrubienie"/>
          <w:rFonts w:ascii="Calibri" w:hAnsi="Calibri" w:cs="Calibri"/>
          <w:b w:val="0"/>
        </w:rPr>
        <w:t>ochroną ubezpieczeniową objęta jest odpowiedzialność cywilna Ubezpieczonych za szkody wyrządzone przez ich</w:t>
      </w:r>
      <w:r w:rsidR="004B6AC0">
        <w:rPr>
          <w:rStyle w:val="Pogrubienie"/>
          <w:rFonts w:ascii="Calibri" w:hAnsi="Calibri" w:cs="Calibri"/>
          <w:b w:val="0"/>
        </w:rPr>
        <w:t xml:space="preserve"> małoletnie</w:t>
      </w:r>
      <w:r w:rsidRPr="00E84506">
        <w:rPr>
          <w:rStyle w:val="Pogrubienie"/>
          <w:rFonts w:ascii="Calibri" w:hAnsi="Calibri" w:cs="Calibri"/>
          <w:b w:val="0"/>
        </w:rPr>
        <w:t xml:space="preserve"> dziec</w:t>
      </w:r>
      <w:r w:rsidRPr="004B6AC0">
        <w:rPr>
          <w:rStyle w:val="Pogrubienie"/>
          <w:rFonts w:ascii="Calibri" w:hAnsi="Calibri" w:cs="Calibri"/>
          <w:b w:val="0"/>
          <w:color w:val="538135" w:themeColor="accent6" w:themeShade="BF"/>
        </w:rPr>
        <w:t>i,</w:t>
      </w:r>
      <w:r w:rsidR="004B6AC0" w:rsidRPr="004B6AC0">
        <w:rPr>
          <w:rStyle w:val="Pogrubienie"/>
          <w:rFonts w:ascii="Calibri" w:hAnsi="Calibri" w:cs="Calibri"/>
          <w:b w:val="0"/>
          <w:color w:val="538135" w:themeColor="accent6" w:themeShade="BF"/>
        </w:rPr>
        <w:t xml:space="preserve"> </w:t>
      </w:r>
      <w:r w:rsidR="004B6AC0" w:rsidRPr="00691DAA">
        <w:rPr>
          <w:rStyle w:val="Pogrubienie"/>
          <w:rFonts w:ascii="Calibri" w:hAnsi="Calibri" w:cs="Calibri"/>
          <w:b w:val="0"/>
          <w:color w:val="70AD47" w:themeColor="accent6"/>
        </w:rPr>
        <w:t>w tym z winy umyślnej</w:t>
      </w:r>
    </w:p>
    <w:p w14:paraId="4EF83796" w14:textId="77777777" w:rsidR="003060BB" w:rsidRPr="00E84506" w:rsidRDefault="003060BB" w:rsidP="003428A2">
      <w:pPr>
        <w:pStyle w:val="NormalnyWeb"/>
        <w:numPr>
          <w:ilvl w:val="0"/>
          <w:numId w:val="21"/>
        </w:numPr>
        <w:tabs>
          <w:tab w:val="left" w:pos="284"/>
        </w:tabs>
        <w:spacing w:before="120" w:beforeAutospacing="0" w:after="120" w:afterAutospacing="0"/>
        <w:ind w:left="1134"/>
        <w:jc w:val="both"/>
        <w:rPr>
          <w:rStyle w:val="Pogrubienie"/>
          <w:rFonts w:ascii="Calibri" w:hAnsi="Calibri" w:cs="Calibri"/>
          <w:b w:val="0"/>
        </w:rPr>
      </w:pPr>
      <w:r w:rsidRPr="00E84506">
        <w:rPr>
          <w:rStyle w:val="Pogrubienie"/>
          <w:rFonts w:ascii="Calibri" w:hAnsi="Calibri" w:cs="Calibri"/>
          <w:b w:val="0"/>
        </w:rPr>
        <w:t>Ubezpieczycielowi nie przysługuje prawo regresu w stosunku do Ubezpieczonego lub osób, za które ponosi on odpowiedzialność także w przypadku szkód wyrządzonych wskutek rażącego niedbalstwa Ubezpieczonego lub osób, za które ponosi on odpowiedzialność.</w:t>
      </w:r>
    </w:p>
    <w:p w14:paraId="23795374" w14:textId="77777777" w:rsidR="003060BB" w:rsidRPr="00E84506" w:rsidRDefault="003060BB" w:rsidP="00156052">
      <w:pPr>
        <w:pStyle w:val="Tekstpodstawowy"/>
        <w:numPr>
          <w:ilvl w:val="0"/>
          <w:numId w:val="15"/>
        </w:numPr>
        <w:spacing w:after="240"/>
        <w:ind w:left="709"/>
        <w:jc w:val="both"/>
        <w:rPr>
          <w:rStyle w:val="Pogrubienie"/>
          <w:rFonts w:ascii="Calibri" w:hAnsi="Calibri" w:cs="Calibri"/>
          <w:bCs w:val="0"/>
          <w:u w:val="single"/>
        </w:rPr>
      </w:pPr>
      <w:r w:rsidRPr="00E84506">
        <w:rPr>
          <w:rStyle w:val="Pogrubienie"/>
          <w:rFonts w:ascii="Calibri" w:hAnsi="Calibri" w:cs="Calibri"/>
          <w:bCs w:val="0"/>
          <w:u w:val="single"/>
        </w:rPr>
        <w:t xml:space="preserve"> Ubezpieczenie ryzyka ponoszenia kosztów ochrony prawnej</w:t>
      </w:r>
    </w:p>
    <w:p w14:paraId="00835A71" w14:textId="77777777" w:rsidR="004B6AC0" w:rsidRPr="004B6AC0" w:rsidRDefault="003060BB" w:rsidP="004B6AC0">
      <w:pPr>
        <w:pStyle w:val="NormalnyWeb"/>
        <w:numPr>
          <w:ilvl w:val="0"/>
          <w:numId w:val="22"/>
        </w:numPr>
        <w:spacing w:before="0" w:beforeAutospacing="0" w:after="240" w:afterAutospacing="0"/>
        <w:ind w:left="1134"/>
        <w:jc w:val="both"/>
        <w:rPr>
          <w:rFonts w:ascii="Calibri" w:hAnsi="Calibri" w:cs="Calibri"/>
          <w:bCs/>
        </w:rPr>
      </w:pPr>
      <w:r w:rsidRPr="00E84506">
        <w:rPr>
          <w:rStyle w:val="Pogrubienie"/>
          <w:rFonts w:ascii="Calibri" w:hAnsi="Calibri" w:cs="Calibri"/>
        </w:rPr>
        <w:t>Przedmiotem ubezpieczenia</w:t>
      </w:r>
      <w:r w:rsidR="004B6AC0" w:rsidRPr="004B6AC0">
        <w:rPr>
          <w:rFonts w:ascii="Times New Roman" w:hAnsi="Times New Roman" w:cs="Times New Roman"/>
          <w:color w:val="auto"/>
        </w:rPr>
        <w:t xml:space="preserve"> </w:t>
      </w:r>
    </w:p>
    <w:p w14:paraId="4A315799" w14:textId="77777777" w:rsidR="003060BB" w:rsidRPr="004B6AC0" w:rsidRDefault="004B6AC0" w:rsidP="004B6AC0">
      <w:pPr>
        <w:pStyle w:val="NormalnyWeb"/>
        <w:spacing w:before="0" w:beforeAutospacing="0" w:after="240" w:afterAutospacing="0"/>
        <w:ind w:left="1134"/>
        <w:jc w:val="both"/>
        <w:rPr>
          <w:rStyle w:val="Pogrubienie"/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color w:val="auto"/>
        </w:rPr>
        <w:t xml:space="preserve">Ubezpieczenie ryzyka ponoszenia kosztów ochrony prawnej obejmuje </w:t>
      </w:r>
      <w:r w:rsidRPr="004B6AC0">
        <w:rPr>
          <w:rFonts w:asciiTheme="minorHAnsi" w:hAnsiTheme="minorHAnsi" w:cstheme="minorHAnsi"/>
          <w:color w:val="auto"/>
        </w:rPr>
        <w:t xml:space="preserve">koszty </w:t>
      </w:r>
      <w:r>
        <w:rPr>
          <w:rFonts w:asciiTheme="minorHAnsi" w:hAnsiTheme="minorHAnsi" w:cstheme="minorHAnsi"/>
          <w:color w:val="auto"/>
        </w:rPr>
        <w:t xml:space="preserve"> </w:t>
      </w:r>
      <w:r w:rsidRPr="004B6AC0">
        <w:rPr>
          <w:rFonts w:asciiTheme="minorHAnsi" w:hAnsiTheme="minorHAnsi" w:cstheme="minorHAnsi"/>
          <w:color w:val="auto"/>
        </w:rPr>
        <w:t xml:space="preserve"> poniesione przez ubezpieczonego wskutek konieczności pokrycia takich kosztów w celu obrony swoich praw, w zakresie przewidzianym w obowiązujących przepisach, w postępowaniach przed sądami polskimi</w:t>
      </w:r>
      <w:r w:rsidRPr="004B6AC0">
        <w:rPr>
          <w:rFonts w:asciiTheme="minorHAnsi" w:hAnsiTheme="minorHAnsi" w:cstheme="minorHAnsi"/>
          <w:color w:val="FF0000"/>
        </w:rPr>
        <w:t xml:space="preserve"> </w:t>
      </w:r>
      <w:r w:rsidRPr="004B6AC0">
        <w:rPr>
          <w:rFonts w:asciiTheme="minorHAnsi" w:hAnsiTheme="minorHAnsi" w:cstheme="minorHAnsi"/>
          <w:color w:val="538135" w:themeColor="accent6" w:themeShade="BF"/>
        </w:rPr>
        <w:t>powszechnymi lub polubownymi</w:t>
      </w:r>
      <w:r w:rsidRPr="004B6AC0">
        <w:rPr>
          <w:rFonts w:asciiTheme="minorHAnsi" w:hAnsiTheme="minorHAnsi" w:cstheme="minorHAnsi"/>
          <w:color w:val="auto"/>
        </w:rPr>
        <w:t xml:space="preserve">, prowadzonych z jego udziałem w charakterze pozwanego, interwenienta ubocznego, podejrzanego, oskarżonego oraz w postępowaniu dyscyplinarnym lub zawodowym  </w:t>
      </w:r>
      <w:r w:rsidR="003060BB" w:rsidRPr="004B6AC0">
        <w:rPr>
          <w:rStyle w:val="Pogrubienie"/>
          <w:rFonts w:asciiTheme="minorHAnsi" w:hAnsiTheme="minorHAnsi" w:cstheme="minorHAnsi"/>
          <w:b w:val="0"/>
        </w:rPr>
        <w:t xml:space="preserve"> będących w związku z wykonywaniem zawodu inżyniera budownictwa lub praw i obowiązków członka Polskiej Izby Inżynierów Budownictwa. </w:t>
      </w:r>
    </w:p>
    <w:p w14:paraId="61FA6B69" w14:textId="77777777" w:rsidR="004B6AC0" w:rsidRPr="004B6AC0" w:rsidRDefault="004B6AC0" w:rsidP="004B6AC0">
      <w:pPr>
        <w:ind w:left="1418" w:hanging="357"/>
        <w:jc w:val="both"/>
        <w:rPr>
          <w:rFonts w:cstheme="minorHAnsi"/>
        </w:rPr>
      </w:pPr>
      <w:r w:rsidRPr="004B6AC0">
        <w:rPr>
          <w:rFonts w:cstheme="minorHAnsi"/>
        </w:rPr>
        <w:t>W zakresie określonym powyżej ubezpieczeniem objęte są w szczególności:</w:t>
      </w:r>
    </w:p>
    <w:p w14:paraId="5EF796D9" w14:textId="77777777" w:rsidR="004B6AC0" w:rsidRPr="004B6AC0" w:rsidRDefault="004B6AC0" w:rsidP="004B6AC0">
      <w:pPr>
        <w:ind w:left="1418" w:hanging="360"/>
        <w:jc w:val="both"/>
        <w:rPr>
          <w:rFonts w:cstheme="minorHAnsi"/>
        </w:rPr>
      </w:pPr>
      <w:r w:rsidRPr="004B6AC0">
        <w:rPr>
          <w:rFonts w:cstheme="minorHAnsi"/>
        </w:rPr>
        <w:t>1)   koszty usług osób uprawnionych do świadczenia pomocy prawnej,</w:t>
      </w:r>
    </w:p>
    <w:p w14:paraId="5B62FEC3" w14:textId="77777777" w:rsidR="004B6AC0" w:rsidRPr="004B6AC0" w:rsidRDefault="004B6AC0" w:rsidP="004B6AC0">
      <w:pPr>
        <w:ind w:left="1418" w:hanging="360"/>
        <w:jc w:val="both"/>
        <w:rPr>
          <w:rFonts w:cstheme="minorHAnsi"/>
        </w:rPr>
      </w:pPr>
      <w:r w:rsidRPr="004B6AC0">
        <w:rPr>
          <w:rFonts w:cstheme="minorHAnsi"/>
        </w:rPr>
        <w:t>2)  koszty związane z uzyskaniem opinii biegłych lub rzeczoznawców albo innych dokumentów stanowiących środki dowodowe,</w:t>
      </w:r>
    </w:p>
    <w:p w14:paraId="7FD4694F" w14:textId="77777777" w:rsidR="004B6AC0" w:rsidRDefault="004B6AC0" w:rsidP="004B6AC0">
      <w:pPr>
        <w:ind w:left="1418" w:hanging="360"/>
        <w:jc w:val="both"/>
        <w:rPr>
          <w:rFonts w:cstheme="minorHAnsi"/>
        </w:rPr>
      </w:pPr>
      <w:r w:rsidRPr="004B6AC0">
        <w:rPr>
          <w:rFonts w:cstheme="minorHAnsi"/>
        </w:rPr>
        <w:t>3)  pozostałe koszty i opłaty sądowe lub administracyjne, o ile służą one ochronie praw ubezpieczającego w związku z prowadzonym postępowaniem.</w:t>
      </w:r>
    </w:p>
    <w:p w14:paraId="12D9002D" w14:textId="77777777" w:rsidR="004B6AC0" w:rsidRPr="004B6AC0" w:rsidRDefault="004B6AC0" w:rsidP="004B6AC0">
      <w:pPr>
        <w:ind w:left="1418" w:hanging="360"/>
        <w:jc w:val="both"/>
        <w:rPr>
          <w:rStyle w:val="Pogrubienie"/>
          <w:rFonts w:cstheme="minorHAnsi"/>
          <w:b w:val="0"/>
          <w:bCs w:val="0"/>
        </w:rPr>
      </w:pPr>
    </w:p>
    <w:p w14:paraId="29E87738" w14:textId="77777777" w:rsidR="003060BB" w:rsidRPr="00E84506" w:rsidRDefault="003060BB" w:rsidP="004B6AC0">
      <w:pPr>
        <w:pStyle w:val="NormalnyWeb"/>
        <w:numPr>
          <w:ilvl w:val="0"/>
          <w:numId w:val="22"/>
        </w:numPr>
        <w:spacing w:before="0" w:beforeAutospacing="0" w:after="240" w:afterAutospacing="0"/>
        <w:ind w:left="1134"/>
        <w:jc w:val="both"/>
        <w:rPr>
          <w:rStyle w:val="Pogrubienie"/>
          <w:rFonts w:ascii="Calibri" w:hAnsi="Calibri" w:cs="Calibri"/>
          <w:b w:val="0"/>
        </w:rPr>
      </w:pPr>
      <w:r w:rsidRPr="00E84506">
        <w:rPr>
          <w:rStyle w:val="Pogrubienie"/>
          <w:rFonts w:ascii="Calibri" w:hAnsi="Calibri" w:cs="Calibri"/>
          <w:bCs w:val="0"/>
        </w:rPr>
        <w:t>Suma gwarancyjna</w:t>
      </w:r>
      <w:r w:rsidRPr="00E84506">
        <w:rPr>
          <w:rStyle w:val="Pogrubienie"/>
          <w:rFonts w:ascii="Calibri" w:hAnsi="Calibri" w:cs="Calibri"/>
        </w:rPr>
        <w:t>:</w:t>
      </w:r>
      <w:r>
        <w:rPr>
          <w:rStyle w:val="Pogrubienie"/>
          <w:rFonts w:ascii="Calibri" w:hAnsi="Calibri" w:cs="Calibri"/>
        </w:rPr>
        <w:t xml:space="preserve"> </w:t>
      </w:r>
      <w:r w:rsidRPr="00E84506">
        <w:rPr>
          <w:rStyle w:val="Pogrubienie"/>
          <w:rFonts w:ascii="Calibri" w:hAnsi="Calibri" w:cs="Calibri"/>
          <w:b w:val="0"/>
        </w:rPr>
        <w:t>w odniesieniu d</w:t>
      </w:r>
      <w:r>
        <w:rPr>
          <w:rStyle w:val="Pogrubienie"/>
          <w:rFonts w:ascii="Calibri" w:hAnsi="Calibri" w:cs="Calibri"/>
          <w:b w:val="0"/>
        </w:rPr>
        <w:t>o jednego U</w:t>
      </w:r>
      <w:r w:rsidRPr="00E84506">
        <w:rPr>
          <w:rStyle w:val="Pogrubienie"/>
          <w:rFonts w:ascii="Calibri" w:hAnsi="Calibri" w:cs="Calibri"/>
          <w:b w:val="0"/>
        </w:rPr>
        <w:t xml:space="preserve">bezpieczonego w 12 miesięcznym </w:t>
      </w:r>
      <w:r w:rsidRPr="004B6AC0">
        <w:rPr>
          <w:rStyle w:val="Pogrubienie"/>
          <w:rFonts w:ascii="Calibri" w:hAnsi="Calibri" w:cs="Calibri"/>
          <w:b w:val="0"/>
          <w:color w:val="538135" w:themeColor="accent6" w:themeShade="BF"/>
        </w:rPr>
        <w:t>okresie ubezpieczenia wynosi 10.000,00 PLN i nie więcej niż 1.000.000,00 PLN na wszystkie wypadki łącznie dla wszystkich Ubezpieczonych w okresie ubezpieczenia.</w:t>
      </w:r>
    </w:p>
    <w:p w14:paraId="56327403" w14:textId="77777777" w:rsidR="003060BB" w:rsidRPr="00FE560B" w:rsidRDefault="003428A2" w:rsidP="00FE560B">
      <w:pPr>
        <w:pStyle w:val="Tekstpodstawowy"/>
        <w:numPr>
          <w:ilvl w:val="0"/>
          <w:numId w:val="22"/>
        </w:numPr>
        <w:spacing w:after="240"/>
        <w:ind w:left="1134"/>
        <w:jc w:val="both"/>
        <w:rPr>
          <w:rFonts w:ascii="Calibri" w:hAnsi="Calibri" w:cs="Calibri"/>
          <w:b/>
          <w:bCs/>
          <w:sz w:val="24"/>
          <w:szCs w:val="24"/>
        </w:rPr>
      </w:pPr>
      <w:r w:rsidRPr="00FE560B">
        <w:rPr>
          <w:rFonts w:ascii="Calibri" w:hAnsi="Calibri" w:cs="Calibri"/>
          <w:b/>
          <w:bCs/>
          <w:sz w:val="24"/>
          <w:szCs w:val="24"/>
        </w:rPr>
        <w:t>Zakres terytorialny</w:t>
      </w:r>
    </w:p>
    <w:p w14:paraId="68997AAB" w14:textId="77777777" w:rsidR="003060BB" w:rsidRPr="00691DAA" w:rsidRDefault="004B6AC0" w:rsidP="00FE560B">
      <w:pPr>
        <w:pStyle w:val="Tekstpodstawowy"/>
        <w:spacing w:after="240"/>
        <w:ind w:left="1134" w:firstLine="11"/>
        <w:jc w:val="both"/>
        <w:rPr>
          <w:rStyle w:val="Pogrubienie"/>
          <w:rFonts w:asciiTheme="minorHAnsi" w:hAnsiTheme="minorHAnsi" w:cstheme="minorHAnsi"/>
          <w:b w:val="0"/>
          <w:bCs w:val="0"/>
          <w:color w:val="70AD47" w:themeColor="accent6"/>
          <w:sz w:val="24"/>
          <w:szCs w:val="24"/>
          <w:u w:val="single"/>
        </w:rPr>
      </w:pPr>
      <w:r w:rsidRPr="00691DAA">
        <w:rPr>
          <w:rFonts w:asciiTheme="minorHAnsi" w:hAnsiTheme="minorHAnsi" w:cstheme="minorHAnsi"/>
          <w:color w:val="70AD47" w:themeColor="accent6"/>
          <w:sz w:val="24"/>
          <w:szCs w:val="24"/>
        </w:rPr>
        <w:lastRenderedPageBreak/>
        <w:t xml:space="preserve">Ubezpieczenie obejmuje koszty </w:t>
      </w:r>
      <w:r w:rsidR="00FE560B" w:rsidRPr="00691DAA">
        <w:rPr>
          <w:rFonts w:asciiTheme="minorHAnsi" w:hAnsiTheme="minorHAnsi" w:cstheme="minorHAnsi"/>
          <w:color w:val="70AD47" w:themeColor="accent6"/>
          <w:sz w:val="24"/>
          <w:szCs w:val="24"/>
        </w:rPr>
        <w:t xml:space="preserve">ochrony prawnej </w:t>
      </w:r>
      <w:r w:rsidRPr="00691DAA">
        <w:rPr>
          <w:rFonts w:asciiTheme="minorHAnsi" w:hAnsiTheme="minorHAnsi" w:cstheme="minorHAnsi"/>
          <w:color w:val="70AD47" w:themeColor="accent6"/>
          <w:sz w:val="24"/>
          <w:szCs w:val="24"/>
        </w:rPr>
        <w:t>także w sytuacji, gdy szkoda, z której powstały albo powstaną te koszty miała miejsce poza granicami RP lub dochodzona jest według prawa innego kraju</w:t>
      </w:r>
    </w:p>
    <w:p w14:paraId="6303DB52" w14:textId="77777777" w:rsidR="003060BB" w:rsidRPr="00A2673B" w:rsidRDefault="003060BB" w:rsidP="003060BB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A2673B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691DAA" w:rsidRPr="00A2673B">
        <w:rPr>
          <w:rFonts w:ascii="Calibri" w:hAnsi="Calibri" w:cs="Calibri"/>
          <w:b/>
          <w:sz w:val="28"/>
          <w:szCs w:val="28"/>
          <w:u w:val="single"/>
        </w:rPr>
        <w:t>B</w:t>
      </w:r>
      <w:r w:rsidRPr="00A2673B">
        <w:rPr>
          <w:rFonts w:ascii="Calibri" w:hAnsi="Calibri" w:cs="Calibri"/>
          <w:b/>
          <w:sz w:val="28"/>
          <w:szCs w:val="28"/>
          <w:u w:val="single"/>
        </w:rPr>
        <w:t xml:space="preserve">.  </w:t>
      </w:r>
      <w:r w:rsidR="00FE560B" w:rsidRPr="00A2673B">
        <w:rPr>
          <w:rFonts w:ascii="Calibri" w:hAnsi="Calibri" w:cs="Calibri"/>
          <w:b/>
          <w:sz w:val="28"/>
          <w:szCs w:val="28"/>
          <w:u w:val="single"/>
        </w:rPr>
        <w:t>Ofert</w:t>
      </w:r>
      <w:r w:rsidR="00691DAA" w:rsidRPr="00A2673B">
        <w:rPr>
          <w:rFonts w:ascii="Calibri" w:hAnsi="Calibri" w:cs="Calibri"/>
          <w:b/>
          <w:sz w:val="28"/>
          <w:szCs w:val="28"/>
          <w:u w:val="single"/>
        </w:rPr>
        <w:t>a</w:t>
      </w:r>
      <w:r w:rsidR="00FE560B" w:rsidRPr="00A2673B">
        <w:rPr>
          <w:rFonts w:ascii="Calibri" w:hAnsi="Calibri" w:cs="Calibri"/>
          <w:b/>
          <w:sz w:val="28"/>
          <w:szCs w:val="28"/>
          <w:u w:val="single"/>
        </w:rPr>
        <w:t xml:space="preserve"> ubezpieczeń indywidualnych</w:t>
      </w:r>
      <w:r w:rsidR="00691DAA" w:rsidRPr="00A2673B">
        <w:rPr>
          <w:rFonts w:ascii="Calibri" w:hAnsi="Calibri" w:cs="Calibri"/>
          <w:b/>
          <w:sz w:val="28"/>
          <w:szCs w:val="28"/>
          <w:u w:val="single"/>
        </w:rPr>
        <w:t xml:space="preserve"> dla inżynierów budownictwa</w:t>
      </w:r>
    </w:p>
    <w:p w14:paraId="2601B387" w14:textId="77777777" w:rsidR="003060BB" w:rsidRPr="00A2673B" w:rsidRDefault="00FE560B" w:rsidP="003060BB">
      <w:pPr>
        <w:pStyle w:val="Tekstpodstawowy"/>
        <w:spacing w:after="240"/>
        <w:jc w:val="both"/>
        <w:rPr>
          <w:rStyle w:val="Pogrubienie"/>
          <w:rFonts w:ascii="Calibri" w:hAnsi="Calibri" w:cs="Calibri"/>
          <w:b w:val="0"/>
          <w:bCs w:val="0"/>
          <w:u w:val="single"/>
        </w:rPr>
      </w:pPr>
      <w:r w:rsidRPr="00A2673B">
        <w:rPr>
          <w:rStyle w:val="Pogrubienie"/>
          <w:rFonts w:ascii="Calibri" w:hAnsi="Calibri" w:cs="Calibri"/>
          <w:b w:val="0"/>
          <w:bCs w:val="0"/>
          <w:u w:val="single"/>
        </w:rPr>
        <w:t xml:space="preserve"> </w:t>
      </w:r>
    </w:p>
    <w:p w14:paraId="2A511A9C" w14:textId="77777777" w:rsidR="003060BB" w:rsidRPr="00A2673B" w:rsidRDefault="003060BB" w:rsidP="00691DAA">
      <w:pPr>
        <w:pStyle w:val="NormalnyWeb"/>
        <w:numPr>
          <w:ilvl w:val="0"/>
          <w:numId w:val="28"/>
        </w:numPr>
        <w:spacing w:before="0" w:beforeAutospacing="0" w:after="240" w:afterAutospacing="0"/>
        <w:ind w:left="851"/>
        <w:jc w:val="both"/>
        <w:rPr>
          <w:rStyle w:val="Pogrubienie"/>
          <w:rFonts w:ascii="Calibri" w:hAnsi="Calibri" w:cs="Calibri"/>
          <w:b w:val="0"/>
          <w:u w:val="single"/>
        </w:rPr>
      </w:pPr>
      <w:r w:rsidRPr="00A2673B">
        <w:rPr>
          <w:rStyle w:val="Pogrubienie"/>
          <w:rFonts w:ascii="Calibri" w:hAnsi="Calibri" w:cs="Calibri"/>
          <w:bCs w:val="0"/>
          <w:u w:val="single"/>
        </w:rPr>
        <w:t>Ubezpieczenia nadwyżkowe (podwyższenie sumy gwarancyjnej w obowiązkowym ubezpieczeniu OC inżynierów budownictwa</w:t>
      </w:r>
      <w:r w:rsidRPr="00A2673B">
        <w:rPr>
          <w:rStyle w:val="Pogrubienie"/>
          <w:rFonts w:ascii="Calibri" w:hAnsi="Calibri" w:cs="Calibri"/>
          <w:b w:val="0"/>
          <w:u w:val="single"/>
        </w:rPr>
        <w:t>)</w:t>
      </w:r>
    </w:p>
    <w:p w14:paraId="0476A0FA" w14:textId="77777777" w:rsidR="00691DAA" w:rsidRDefault="00691DAA" w:rsidP="0048167F">
      <w:pPr>
        <w:pStyle w:val="NormalnyWeb"/>
        <w:numPr>
          <w:ilvl w:val="0"/>
          <w:numId w:val="30"/>
        </w:numPr>
        <w:spacing w:before="0" w:beforeAutospacing="0" w:after="240" w:afterAutospacing="0"/>
        <w:ind w:left="567"/>
        <w:jc w:val="both"/>
        <w:rPr>
          <w:rStyle w:val="Pogrubienie"/>
          <w:rFonts w:ascii="Calibri" w:hAnsi="Calibri" w:cs="Calibri"/>
          <w:b w:val="0"/>
        </w:rPr>
      </w:pPr>
      <w:r w:rsidRPr="0048167F">
        <w:rPr>
          <w:rStyle w:val="Pogrubienie"/>
          <w:rFonts w:ascii="Calibri" w:hAnsi="Calibri" w:cs="Calibri"/>
          <w:bCs w:val="0"/>
        </w:rPr>
        <w:t>Zakres ubezpieczenia</w:t>
      </w:r>
      <w:r>
        <w:rPr>
          <w:rStyle w:val="Pogrubienie"/>
          <w:rFonts w:ascii="Calibri" w:hAnsi="Calibri" w:cs="Calibri"/>
          <w:b w:val="0"/>
        </w:rPr>
        <w:t xml:space="preserve"> – identyczny ja w obowiązkowym ubezpieczeniu OC inżyniera budownictwa, ze zmianami potwierdzonymi w Umowie Generalnej </w:t>
      </w:r>
    </w:p>
    <w:p w14:paraId="560A432D" w14:textId="77777777" w:rsidR="00691DAA" w:rsidRPr="0048167F" w:rsidRDefault="00691DAA" w:rsidP="0048167F">
      <w:pPr>
        <w:pStyle w:val="NormalnyWeb"/>
        <w:numPr>
          <w:ilvl w:val="0"/>
          <w:numId w:val="30"/>
        </w:numPr>
        <w:spacing w:before="0" w:beforeAutospacing="0" w:after="240" w:afterAutospacing="0"/>
        <w:ind w:left="567"/>
        <w:jc w:val="both"/>
        <w:rPr>
          <w:rStyle w:val="Pogrubienie"/>
          <w:rFonts w:asciiTheme="minorHAnsi" w:hAnsiTheme="minorHAnsi" w:cstheme="minorHAnsi"/>
          <w:bCs w:val="0"/>
        </w:rPr>
      </w:pPr>
      <w:r w:rsidRPr="0048167F">
        <w:rPr>
          <w:rStyle w:val="Pogrubienie"/>
          <w:rFonts w:asciiTheme="minorHAnsi" w:hAnsiTheme="minorHAnsi" w:cstheme="minorHAnsi"/>
          <w:bCs w:val="0"/>
        </w:rPr>
        <w:t xml:space="preserve">Dodatkowa suma gwarancyjna  i dodatkowa składka 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2"/>
        <w:gridCol w:w="4535"/>
      </w:tblGrid>
      <w:tr w:rsidR="003060BB" w:rsidRPr="00E84506" w14:paraId="21BE4BD3" w14:textId="77777777" w:rsidTr="00691DAA">
        <w:tc>
          <w:tcPr>
            <w:tcW w:w="3392" w:type="dxa"/>
            <w:shd w:val="clear" w:color="auto" w:fill="auto"/>
          </w:tcPr>
          <w:p w14:paraId="62C00391" w14:textId="77777777" w:rsidR="003060BB" w:rsidRPr="00E84506" w:rsidRDefault="003060BB" w:rsidP="007A673F">
            <w:pPr>
              <w:jc w:val="center"/>
              <w:rPr>
                <w:rFonts w:ascii="Calibri" w:eastAsia="Calibri" w:hAnsi="Calibri"/>
                <w:b/>
              </w:rPr>
            </w:pPr>
            <w:r w:rsidRPr="00E84506">
              <w:rPr>
                <w:rFonts w:ascii="Calibri" w:eastAsia="Calibri" w:hAnsi="Calibri"/>
                <w:b/>
              </w:rPr>
              <w:t>Suma gwarancyjna (EUR)</w:t>
            </w:r>
          </w:p>
        </w:tc>
        <w:tc>
          <w:tcPr>
            <w:tcW w:w="4535" w:type="dxa"/>
            <w:shd w:val="clear" w:color="auto" w:fill="auto"/>
          </w:tcPr>
          <w:p w14:paraId="7B55B2EE" w14:textId="77777777" w:rsidR="003060BB" w:rsidRPr="00E84506" w:rsidRDefault="003060BB" w:rsidP="007A673F">
            <w:pPr>
              <w:jc w:val="center"/>
              <w:rPr>
                <w:rFonts w:ascii="Calibri" w:eastAsia="Calibri" w:hAnsi="Calibri"/>
                <w:b/>
              </w:rPr>
            </w:pPr>
            <w:r w:rsidRPr="00E84506">
              <w:rPr>
                <w:rFonts w:ascii="Calibri" w:eastAsia="Calibri" w:hAnsi="Calibri"/>
                <w:b/>
              </w:rPr>
              <w:t>Składka ubezpieczeniowa (PLN) za 12 miesięcy ochrony ubezpieczeniowej</w:t>
            </w:r>
          </w:p>
        </w:tc>
      </w:tr>
      <w:tr w:rsidR="003060BB" w:rsidRPr="00E84506" w14:paraId="5A4124E2" w14:textId="77777777" w:rsidTr="00691DAA">
        <w:tc>
          <w:tcPr>
            <w:tcW w:w="3392" w:type="dxa"/>
            <w:shd w:val="clear" w:color="auto" w:fill="auto"/>
          </w:tcPr>
          <w:p w14:paraId="1C6F9EC4" w14:textId="77777777" w:rsidR="003060BB" w:rsidRPr="00E84506" w:rsidRDefault="003060BB" w:rsidP="007A673F">
            <w:pPr>
              <w:jc w:val="center"/>
              <w:rPr>
                <w:rFonts w:ascii="Calibri" w:eastAsia="Calibri" w:hAnsi="Calibri"/>
              </w:rPr>
            </w:pPr>
            <w:r w:rsidRPr="00E84506">
              <w:rPr>
                <w:rFonts w:ascii="Calibri" w:eastAsia="Calibri" w:hAnsi="Calibri"/>
              </w:rPr>
              <w:t xml:space="preserve">100 000 </w:t>
            </w:r>
            <w:r w:rsidRPr="00E84506">
              <w:rPr>
                <w:rFonts w:ascii="Calibri" w:eastAsia="Calibri" w:hAnsi="Calibri" w:cs="Calibri"/>
              </w:rPr>
              <w:t>€</w:t>
            </w:r>
          </w:p>
        </w:tc>
        <w:tc>
          <w:tcPr>
            <w:tcW w:w="4535" w:type="dxa"/>
            <w:shd w:val="clear" w:color="auto" w:fill="auto"/>
          </w:tcPr>
          <w:p w14:paraId="012A9921" w14:textId="77777777" w:rsidR="003060BB" w:rsidRPr="00691DAA" w:rsidRDefault="003060BB" w:rsidP="0048167F">
            <w:pPr>
              <w:jc w:val="center"/>
              <w:rPr>
                <w:rFonts w:ascii="Calibri" w:eastAsia="Calibri" w:hAnsi="Calibri"/>
                <w:color w:val="70AD47" w:themeColor="accent6"/>
              </w:rPr>
            </w:pPr>
            <w:r w:rsidRPr="00691DAA">
              <w:rPr>
                <w:rFonts w:ascii="Calibri" w:eastAsia="Calibri" w:hAnsi="Calibri"/>
                <w:color w:val="70AD47" w:themeColor="accent6"/>
              </w:rPr>
              <w:t>190</w:t>
            </w:r>
            <w:r w:rsidR="00691DAA">
              <w:rPr>
                <w:rFonts w:ascii="Calibri" w:eastAsia="Calibri" w:hAnsi="Calibri"/>
                <w:color w:val="70AD47" w:themeColor="accent6"/>
              </w:rPr>
              <w:t xml:space="preserve"> zł</w:t>
            </w:r>
          </w:p>
        </w:tc>
      </w:tr>
      <w:tr w:rsidR="003060BB" w:rsidRPr="00E84506" w14:paraId="1F12E9BE" w14:textId="77777777" w:rsidTr="00691DAA">
        <w:tc>
          <w:tcPr>
            <w:tcW w:w="3392" w:type="dxa"/>
            <w:shd w:val="clear" w:color="auto" w:fill="auto"/>
          </w:tcPr>
          <w:p w14:paraId="1030DE27" w14:textId="77777777" w:rsidR="003060BB" w:rsidRPr="00E84506" w:rsidRDefault="003060BB" w:rsidP="007A673F">
            <w:pPr>
              <w:jc w:val="center"/>
              <w:rPr>
                <w:rFonts w:ascii="Calibri" w:eastAsia="Calibri" w:hAnsi="Calibri"/>
              </w:rPr>
            </w:pPr>
            <w:r w:rsidRPr="00E84506">
              <w:rPr>
                <w:rFonts w:ascii="Calibri" w:eastAsia="Calibri" w:hAnsi="Calibri"/>
              </w:rPr>
              <w:t xml:space="preserve">200 000 </w:t>
            </w:r>
            <w:r w:rsidRPr="00E84506">
              <w:rPr>
                <w:rFonts w:ascii="Calibri" w:eastAsia="Calibri" w:hAnsi="Calibri" w:cs="Calibri"/>
              </w:rPr>
              <w:t>€</w:t>
            </w:r>
          </w:p>
        </w:tc>
        <w:tc>
          <w:tcPr>
            <w:tcW w:w="4535" w:type="dxa"/>
            <w:shd w:val="clear" w:color="auto" w:fill="auto"/>
          </w:tcPr>
          <w:p w14:paraId="3DC73A43" w14:textId="77777777" w:rsidR="003060BB" w:rsidRPr="00691DAA" w:rsidRDefault="003060BB" w:rsidP="0048167F">
            <w:pPr>
              <w:jc w:val="center"/>
              <w:rPr>
                <w:rFonts w:ascii="Calibri" w:eastAsia="Calibri" w:hAnsi="Calibri"/>
                <w:color w:val="70AD47" w:themeColor="accent6"/>
              </w:rPr>
            </w:pPr>
            <w:r w:rsidRPr="00691DAA">
              <w:rPr>
                <w:rFonts w:ascii="Calibri" w:eastAsia="Calibri" w:hAnsi="Calibri"/>
                <w:color w:val="70AD47" w:themeColor="accent6"/>
              </w:rPr>
              <w:t>390</w:t>
            </w:r>
            <w:r w:rsidR="00691DAA">
              <w:rPr>
                <w:rFonts w:ascii="Calibri" w:eastAsia="Calibri" w:hAnsi="Calibri"/>
                <w:color w:val="70AD47" w:themeColor="accent6"/>
              </w:rPr>
              <w:t xml:space="preserve"> zł</w:t>
            </w:r>
          </w:p>
        </w:tc>
      </w:tr>
      <w:tr w:rsidR="003060BB" w:rsidRPr="00E84506" w14:paraId="2E4DF8D7" w14:textId="77777777" w:rsidTr="00691DAA">
        <w:tc>
          <w:tcPr>
            <w:tcW w:w="3392" w:type="dxa"/>
            <w:shd w:val="clear" w:color="auto" w:fill="auto"/>
          </w:tcPr>
          <w:p w14:paraId="339DE9DA" w14:textId="77777777" w:rsidR="003060BB" w:rsidRPr="00E84506" w:rsidRDefault="003060BB" w:rsidP="007A673F">
            <w:pPr>
              <w:jc w:val="center"/>
              <w:rPr>
                <w:rFonts w:ascii="Calibri" w:eastAsia="Calibri" w:hAnsi="Calibri"/>
              </w:rPr>
            </w:pPr>
            <w:r w:rsidRPr="00E84506">
              <w:rPr>
                <w:rFonts w:ascii="Calibri" w:eastAsia="Calibri" w:hAnsi="Calibri"/>
              </w:rPr>
              <w:t xml:space="preserve">250 000 </w:t>
            </w:r>
            <w:r w:rsidRPr="00E84506">
              <w:rPr>
                <w:rFonts w:ascii="Calibri" w:eastAsia="Calibri" w:hAnsi="Calibri" w:cs="Calibri"/>
              </w:rPr>
              <w:t>€</w:t>
            </w:r>
          </w:p>
        </w:tc>
        <w:tc>
          <w:tcPr>
            <w:tcW w:w="4535" w:type="dxa"/>
            <w:shd w:val="clear" w:color="auto" w:fill="auto"/>
          </w:tcPr>
          <w:p w14:paraId="4C212324" w14:textId="77777777" w:rsidR="003060BB" w:rsidRPr="00691DAA" w:rsidRDefault="003060BB" w:rsidP="0048167F">
            <w:pPr>
              <w:jc w:val="center"/>
              <w:rPr>
                <w:rFonts w:ascii="Calibri" w:eastAsia="Calibri" w:hAnsi="Calibri"/>
                <w:color w:val="70AD47" w:themeColor="accent6"/>
              </w:rPr>
            </w:pPr>
            <w:r w:rsidRPr="00691DAA">
              <w:rPr>
                <w:rFonts w:ascii="Calibri" w:eastAsia="Calibri" w:hAnsi="Calibri"/>
                <w:color w:val="70AD47" w:themeColor="accent6"/>
              </w:rPr>
              <w:t>470</w:t>
            </w:r>
            <w:r w:rsidR="00691DAA">
              <w:rPr>
                <w:rFonts w:ascii="Calibri" w:eastAsia="Calibri" w:hAnsi="Calibri"/>
                <w:color w:val="70AD47" w:themeColor="accent6"/>
              </w:rPr>
              <w:t xml:space="preserve"> zł</w:t>
            </w:r>
          </w:p>
        </w:tc>
      </w:tr>
      <w:tr w:rsidR="003060BB" w:rsidRPr="00E84506" w14:paraId="5B23D919" w14:textId="77777777" w:rsidTr="00691DAA">
        <w:tc>
          <w:tcPr>
            <w:tcW w:w="3392" w:type="dxa"/>
            <w:shd w:val="clear" w:color="auto" w:fill="auto"/>
          </w:tcPr>
          <w:p w14:paraId="00502501" w14:textId="77777777" w:rsidR="003060BB" w:rsidRPr="00E84506" w:rsidRDefault="003060BB" w:rsidP="007A673F">
            <w:pPr>
              <w:jc w:val="center"/>
              <w:rPr>
                <w:rFonts w:ascii="Calibri" w:eastAsia="Calibri" w:hAnsi="Calibri"/>
              </w:rPr>
            </w:pPr>
            <w:r w:rsidRPr="00E84506">
              <w:rPr>
                <w:rFonts w:ascii="Calibri" w:eastAsia="Calibri" w:hAnsi="Calibri"/>
              </w:rPr>
              <w:t xml:space="preserve">300 000 </w:t>
            </w:r>
            <w:r w:rsidRPr="00E84506">
              <w:rPr>
                <w:rFonts w:ascii="Calibri" w:eastAsia="Calibri" w:hAnsi="Calibri" w:cs="Calibri"/>
              </w:rPr>
              <w:t>€</w:t>
            </w:r>
          </w:p>
        </w:tc>
        <w:tc>
          <w:tcPr>
            <w:tcW w:w="4535" w:type="dxa"/>
            <w:shd w:val="clear" w:color="auto" w:fill="auto"/>
          </w:tcPr>
          <w:p w14:paraId="1DA84320" w14:textId="77777777" w:rsidR="003060BB" w:rsidRPr="00691DAA" w:rsidRDefault="003060BB" w:rsidP="0048167F">
            <w:pPr>
              <w:jc w:val="center"/>
              <w:rPr>
                <w:rFonts w:ascii="Calibri" w:eastAsia="Calibri" w:hAnsi="Calibri"/>
                <w:color w:val="70AD47" w:themeColor="accent6"/>
              </w:rPr>
            </w:pPr>
            <w:r w:rsidRPr="00691DAA">
              <w:rPr>
                <w:rFonts w:ascii="Calibri" w:eastAsia="Calibri" w:hAnsi="Calibri"/>
                <w:color w:val="70AD47" w:themeColor="accent6"/>
              </w:rPr>
              <w:t>630</w:t>
            </w:r>
            <w:r w:rsidR="00691DAA">
              <w:rPr>
                <w:rFonts w:ascii="Calibri" w:eastAsia="Calibri" w:hAnsi="Calibri"/>
                <w:color w:val="70AD47" w:themeColor="accent6"/>
              </w:rPr>
              <w:t xml:space="preserve"> zł</w:t>
            </w:r>
          </w:p>
        </w:tc>
      </w:tr>
      <w:tr w:rsidR="003060BB" w:rsidRPr="00E84506" w14:paraId="054EAD3B" w14:textId="77777777" w:rsidTr="00691DAA">
        <w:tc>
          <w:tcPr>
            <w:tcW w:w="3392" w:type="dxa"/>
            <w:shd w:val="clear" w:color="auto" w:fill="auto"/>
          </w:tcPr>
          <w:p w14:paraId="094C7E56" w14:textId="77777777" w:rsidR="003060BB" w:rsidRPr="00E84506" w:rsidRDefault="003060BB" w:rsidP="007A673F">
            <w:pPr>
              <w:jc w:val="center"/>
              <w:rPr>
                <w:rFonts w:ascii="Calibri" w:eastAsia="Calibri" w:hAnsi="Calibri"/>
              </w:rPr>
            </w:pPr>
            <w:r w:rsidRPr="00E84506">
              <w:rPr>
                <w:rFonts w:ascii="Calibri" w:eastAsia="Calibri" w:hAnsi="Calibri"/>
              </w:rPr>
              <w:t xml:space="preserve">400 000 </w:t>
            </w:r>
            <w:r w:rsidRPr="00E84506">
              <w:rPr>
                <w:rFonts w:ascii="Calibri" w:eastAsia="Calibri" w:hAnsi="Calibri" w:cs="Calibri"/>
              </w:rPr>
              <w:t>€</w:t>
            </w:r>
          </w:p>
        </w:tc>
        <w:tc>
          <w:tcPr>
            <w:tcW w:w="4535" w:type="dxa"/>
            <w:shd w:val="clear" w:color="auto" w:fill="auto"/>
          </w:tcPr>
          <w:p w14:paraId="56974C15" w14:textId="77777777" w:rsidR="003060BB" w:rsidRPr="00691DAA" w:rsidRDefault="003060BB" w:rsidP="0048167F">
            <w:pPr>
              <w:jc w:val="center"/>
              <w:rPr>
                <w:rFonts w:ascii="Calibri" w:eastAsia="Calibri" w:hAnsi="Calibri"/>
                <w:color w:val="70AD47" w:themeColor="accent6"/>
              </w:rPr>
            </w:pPr>
            <w:r w:rsidRPr="00691DAA">
              <w:rPr>
                <w:rFonts w:ascii="Calibri" w:eastAsia="Calibri" w:hAnsi="Calibri"/>
                <w:color w:val="70AD47" w:themeColor="accent6"/>
              </w:rPr>
              <w:t>980</w:t>
            </w:r>
            <w:r w:rsidR="00691DAA">
              <w:rPr>
                <w:rFonts w:ascii="Calibri" w:eastAsia="Calibri" w:hAnsi="Calibri"/>
                <w:color w:val="70AD47" w:themeColor="accent6"/>
              </w:rPr>
              <w:t xml:space="preserve"> zł</w:t>
            </w:r>
          </w:p>
        </w:tc>
      </w:tr>
      <w:tr w:rsidR="003060BB" w:rsidRPr="00E84506" w14:paraId="2BBA4500" w14:textId="77777777" w:rsidTr="00691DAA">
        <w:tc>
          <w:tcPr>
            <w:tcW w:w="3392" w:type="dxa"/>
            <w:shd w:val="clear" w:color="auto" w:fill="auto"/>
          </w:tcPr>
          <w:p w14:paraId="36585D9E" w14:textId="77777777" w:rsidR="003060BB" w:rsidRPr="00691DAA" w:rsidRDefault="003060BB" w:rsidP="007A673F">
            <w:pPr>
              <w:jc w:val="center"/>
              <w:rPr>
                <w:rFonts w:ascii="Calibri" w:eastAsia="Calibri" w:hAnsi="Calibri"/>
                <w:color w:val="70AD47" w:themeColor="accent6"/>
              </w:rPr>
            </w:pPr>
            <w:r w:rsidRPr="00691DAA">
              <w:rPr>
                <w:rFonts w:ascii="Calibri" w:eastAsia="Calibri" w:hAnsi="Calibri"/>
                <w:color w:val="70AD47" w:themeColor="accent6"/>
              </w:rPr>
              <w:t xml:space="preserve">500 000 </w:t>
            </w:r>
            <w:r w:rsidRPr="00691DAA">
              <w:rPr>
                <w:rFonts w:ascii="Calibri" w:eastAsia="Calibri" w:hAnsi="Calibri" w:cs="Calibri"/>
                <w:color w:val="70AD47" w:themeColor="accent6"/>
              </w:rPr>
              <w:t>€</w:t>
            </w:r>
          </w:p>
        </w:tc>
        <w:tc>
          <w:tcPr>
            <w:tcW w:w="4535" w:type="dxa"/>
            <w:shd w:val="clear" w:color="auto" w:fill="auto"/>
          </w:tcPr>
          <w:p w14:paraId="770C3E2D" w14:textId="77777777" w:rsidR="003060BB" w:rsidRPr="00691DAA" w:rsidRDefault="00691DAA" w:rsidP="0048167F">
            <w:pPr>
              <w:pStyle w:val="Akapitzlist"/>
              <w:numPr>
                <w:ilvl w:val="0"/>
                <w:numId w:val="29"/>
              </w:numPr>
              <w:ind w:left="469" w:hanging="567"/>
              <w:jc w:val="center"/>
              <w:rPr>
                <w:rFonts w:ascii="Calibri" w:eastAsia="Calibri" w:hAnsi="Calibri"/>
                <w:color w:val="70AD47" w:themeColor="accent6"/>
              </w:rPr>
            </w:pPr>
            <w:r w:rsidRPr="00691DAA">
              <w:rPr>
                <w:rFonts w:ascii="Calibri" w:eastAsia="Calibri" w:hAnsi="Calibri"/>
                <w:color w:val="70AD47" w:themeColor="accent6"/>
              </w:rPr>
              <w:t>zł</w:t>
            </w:r>
          </w:p>
        </w:tc>
      </w:tr>
    </w:tbl>
    <w:p w14:paraId="23F5E632" w14:textId="77777777" w:rsidR="00691DAA" w:rsidRPr="00691DAA" w:rsidRDefault="00691DAA" w:rsidP="0048167F">
      <w:pPr>
        <w:pStyle w:val="Akapitzlist"/>
        <w:numPr>
          <w:ilvl w:val="0"/>
          <w:numId w:val="30"/>
        </w:numPr>
        <w:spacing w:after="200" w:line="276" w:lineRule="auto"/>
        <w:ind w:left="709"/>
        <w:rPr>
          <w:rFonts w:ascii="Calibri" w:eastAsia="Calibri" w:hAnsi="Calibri"/>
          <w:bCs/>
        </w:rPr>
      </w:pPr>
      <w:r w:rsidRPr="0048167F">
        <w:rPr>
          <w:rFonts w:ascii="Calibri" w:eastAsia="Calibri" w:hAnsi="Calibri"/>
          <w:b/>
          <w:bCs/>
        </w:rPr>
        <w:t>Tryb zawarcia umowy</w:t>
      </w:r>
      <w:r>
        <w:rPr>
          <w:rFonts w:ascii="Calibri" w:eastAsia="Calibri" w:hAnsi="Calibri"/>
        </w:rPr>
        <w:t xml:space="preserve"> ubezpieczenia nadwyżkowego po raz pierwszy – przez wypełnienie wniosku dostępnego na stronie Polskiej Izby Inżynierów budownictwa lub</w:t>
      </w:r>
      <w:r w:rsidR="0048167F">
        <w:rPr>
          <w:rFonts w:ascii="Calibri" w:eastAsia="Calibri" w:hAnsi="Calibri"/>
        </w:rPr>
        <w:t xml:space="preserve"> formularza dostępnego</w:t>
      </w:r>
      <w:r>
        <w:rPr>
          <w:rFonts w:ascii="Calibri" w:eastAsia="Calibri" w:hAnsi="Calibri"/>
        </w:rPr>
        <w:t xml:space="preserve"> na stronie </w:t>
      </w:r>
      <w:hyperlink r:id="rId5" w:history="1">
        <w:r w:rsidRPr="005B5F00">
          <w:rPr>
            <w:rStyle w:val="Hipercze"/>
            <w:rFonts w:ascii="Calibri" w:eastAsia="Calibri" w:hAnsi="Calibri"/>
          </w:rPr>
          <w:t>www.ubezpieczeniadlainzynierow.pl</w:t>
        </w:r>
      </w:hyperlink>
    </w:p>
    <w:p w14:paraId="2B8CD3CC" w14:textId="77777777" w:rsidR="00691DAA" w:rsidRPr="00691DAA" w:rsidRDefault="00691DAA" w:rsidP="00691DAA">
      <w:pPr>
        <w:pStyle w:val="Akapitzlist"/>
        <w:spacing w:after="200" w:line="276" w:lineRule="auto"/>
        <w:ind w:left="851"/>
        <w:rPr>
          <w:rFonts w:ascii="Calibri" w:eastAsia="Calibri" w:hAnsi="Calibri"/>
          <w:bCs/>
        </w:rPr>
      </w:pPr>
    </w:p>
    <w:p w14:paraId="54A60576" w14:textId="77777777" w:rsidR="003060BB" w:rsidRPr="0048167F" w:rsidRDefault="003060BB" w:rsidP="00691DAA">
      <w:pPr>
        <w:pStyle w:val="Akapitzlist"/>
        <w:numPr>
          <w:ilvl w:val="0"/>
          <w:numId w:val="28"/>
        </w:numPr>
        <w:spacing w:after="200" w:line="276" w:lineRule="auto"/>
        <w:ind w:left="851"/>
        <w:rPr>
          <w:rFonts w:ascii="Calibri" w:eastAsia="Calibri" w:hAnsi="Calibri"/>
          <w:b/>
          <w:u w:val="single"/>
        </w:rPr>
      </w:pPr>
      <w:r w:rsidRPr="0048167F">
        <w:rPr>
          <w:rFonts w:ascii="Calibri" w:eastAsia="Calibri" w:hAnsi="Calibri"/>
          <w:b/>
          <w:u w:val="single"/>
        </w:rPr>
        <w:t>Obowiązkowe ubezpieczenie odpowiedzialności cywilnej zawodowej architektów, będących członkami PIIB</w:t>
      </w:r>
    </w:p>
    <w:p w14:paraId="002C5D3B" w14:textId="77777777" w:rsidR="003060BB" w:rsidRPr="00691DAA" w:rsidRDefault="003060BB" w:rsidP="00A2673B">
      <w:pPr>
        <w:pStyle w:val="NormalnyWeb"/>
        <w:numPr>
          <w:ilvl w:val="0"/>
          <w:numId w:val="26"/>
        </w:numPr>
        <w:spacing w:before="0" w:beforeAutospacing="0" w:after="120" w:afterAutospacing="0"/>
        <w:ind w:left="567"/>
        <w:jc w:val="both"/>
        <w:outlineLvl w:val="0"/>
        <w:rPr>
          <w:rStyle w:val="Pogrubienie"/>
          <w:rFonts w:ascii="Calibri" w:hAnsi="Calibri" w:cs="Calibri"/>
          <w:b w:val="0"/>
        </w:rPr>
      </w:pPr>
      <w:r w:rsidRPr="0048167F">
        <w:rPr>
          <w:rStyle w:val="Pogrubienie"/>
          <w:rFonts w:ascii="Calibri" w:hAnsi="Calibri" w:cs="Calibri"/>
          <w:bCs w:val="0"/>
        </w:rPr>
        <w:t>Warunki ubezpieczenia</w:t>
      </w:r>
      <w:r w:rsidRPr="00691DAA">
        <w:rPr>
          <w:rStyle w:val="Pogrubienie"/>
          <w:rFonts w:ascii="Calibri" w:hAnsi="Calibri" w:cs="Calibri"/>
          <w:b w:val="0"/>
        </w:rPr>
        <w:t xml:space="preserve">: </w:t>
      </w:r>
      <w:r w:rsidRPr="00691DAA">
        <w:rPr>
          <w:rFonts w:ascii="Calibri" w:hAnsi="Calibri" w:cs="Calibri"/>
          <w:bCs/>
        </w:rPr>
        <w:t xml:space="preserve">Rozporządzenie Ministra Finansów z dnia 11 grudnia 2003 r. w sprawie obowiązkowego ubezpieczenia odpowiedzialności cywilnej architektów oraz inżynierów budownictwa </w:t>
      </w:r>
    </w:p>
    <w:p w14:paraId="41016059" w14:textId="77777777" w:rsidR="003060BB" w:rsidRPr="00691DAA" w:rsidRDefault="003060BB" w:rsidP="00A2673B">
      <w:pPr>
        <w:pStyle w:val="Akapitzlist"/>
        <w:numPr>
          <w:ilvl w:val="0"/>
          <w:numId w:val="26"/>
        </w:numPr>
        <w:spacing w:after="200" w:line="276" w:lineRule="auto"/>
        <w:ind w:left="567"/>
        <w:jc w:val="both"/>
        <w:rPr>
          <w:rFonts w:ascii="Calibri" w:eastAsia="Calibri" w:hAnsi="Calibri"/>
          <w:bCs/>
        </w:rPr>
      </w:pPr>
      <w:r w:rsidRPr="0048167F">
        <w:rPr>
          <w:rFonts w:ascii="Calibri" w:eastAsia="Calibri" w:hAnsi="Calibri"/>
          <w:b/>
        </w:rPr>
        <w:t>Suma gwarancyjna:</w:t>
      </w:r>
      <w:r w:rsidRPr="00691DAA">
        <w:rPr>
          <w:rFonts w:ascii="Calibri" w:eastAsia="Calibri" w:hAnsi="Calibri"/>
          <w:bCs/>
        </w:rPr>
        <w:t xml:space="preserve"> 50.000 Euro na każde zdarzenie </w:t>
      </w:r>
    </w:p>
    <w:p w14:paraId="6CDA0DD9" w14:textId="77777777" w:rsidR="003060BB" w:rsidRDefault="003060BB" w:rsidP="00A2673B">
      <w:pPr>
        <w:pStyle w:val="Akapitzlist"/>
        <w:numPr>
          <w:ilvl w:val="0"/>
          <w:numId w:val="26"/>
        </w:numPr>
        <w:spacing w:after="200" w:line="276" w:lineRule="auto"/>
        <w:ind w:left="567"/>
        <w:jc w:val="both"/>
        <w:rPr>
          <w:rFonts w:ascii="Calibri" w:eastAsia="Calibri" w:hAnsi="Calibri"/>
          <w:bCs/>
        </w:rPr>
      </w:pPr>
      <w:r w:rsidRPr="0048167F">
        <w:rPr>
          <w:rFonts w:ascii="Calibri" w:eastAsia="Calibri" w:hAnsi="Calibri"/>
          <w:b/>
        </w:rPr>
        <w:t>Składka</w:t>
      </w:r>
      <w:r w:rsidRPr="00691DAA">
        <w:rPr>
          <w:rFonts w:ascii="Calibri" w:eastAsia="Calibri" w:hAnsi="Calibri"/>
          <w:bCs/>
        </w:rPr>
        <w:t xml:space="preserve"> za 12 miesięcy okresu ubezpieczenia: </w:t>
      </w:r>
      <w:r w:rsidRPr="0048167F">
        <w:rPr>
          <w:rFonts w:ascii="Calibri" w:eastAsia="Calibri" w:hAnsi="Calibri"/>
          <w:bCs/>
          <w:color w:val="70AD47" w:themeColor="accent6"/>
        </w:rPr>
        <w:t>20 PLN</w:t>
      </w:r>
    </w:p>
    <w:p w14:paraId="5D37BF0D" w14:textId="1425B2F5" w:rsidR="00A2673B" w:rsidRDefault="00691DAA" w:rsidP="00A2673B">
      <w:pPr>
        <w:pStyle w:val="Akapitzlist"/>
        <w:numPr>
          <w:ilvl w:val="0"/>
          <w:numId w:val="26"/>
        </w:numPr>
        <w:spacing w:after="200" w:line="276" w:lineRule="auto"/>
        <w:ind w:left="567"/>
        <w:jc w:val="both"/>
        <w:rPr>
          <w:rStyle w:val="Hipercze"/>
          <w:rFonts w:ascii="Calibri" w:eastAsia="Calibri" w:hAnsi="Calibri"/>
          <w:bCs/>
          <w:color w:val="auto"/>
          <w:u w:val="none"/>
        </w:rPr>
      </w:pPr>
      <w:r w:rsidRPr="0048167F">
        <w:rPr>
          <w:rFonts w:ascii="Calibri" w:eastAsia="Calibri" w:hAnsi="Calibri"/>
          <w:b/>
          <w:bCs/>
        </w:rPr>
        <w:t>Tryb zawarcia umowy</w:t>
      </w:r>
      <w:r>
        <w:rPr>
          <w:rFonts w:ascii="Calibri" w:eastAsia="Calibri" w:hAnsi="Calibri"/>
        </w:rPr>
        <w:t xml:space="preserve"> ubezpieczenia nadwyżkowego po raz pierwszy – przez wypełnienie wniosku dostępnego na stronie Polskiej Izby Inżynierów budownictwa lub </w:t>
      </w:r>
      <w:r w:rsidR="0048167F">
        <w:rPr>
          <w:rFonts w:ascii="Calibri" w:eastAsia="Calibri" w:hAnsi="Calibri"/>
        </w:rPr>
        <w:t xml:space="preserve">formularza dostępnego </w:t>
      </w:r>
      <w:r>
        <w:rPr>
          <w:rFonts w:ascii="Calibri" w:eastAsia="Calibri" w:hAnsi="Calibri"/>
        </w:rPr>
        <w:t xml:space="preserve">na stronie </w:t>
      </w:r>
      <w:hyperlink r:id="rId6" w:history="1">
        <w:r w:rsidRPr="005B5F00">
          <w:rPr>
            <w:rStyle w:val="Hipercze"/>
            <w:rFonts w:ascii="Calibri" w:eastAsia="Calibri" w:hAnsi="Calibri"/>
          </w:rPr>
          <w:t>www.ubezpieczeniadlainzynierow.pl</w:t>
        </w:r>
      </w:hyperlink>
    </w:p>
    <w:p w14:paraId="054F12FC" w14:textId="77777777" w:rsidR="00A2673B" w:rsidRPr="00A2673B" w:rsidRDefault="00A2673B" w:rsidP="00A2673B">
      <w:pPr>
        <w:pStyle w:val="Akapitzlist"/>
        <w:spacing w:after="200" w:line="276" w:lineRule="auto"/>
        <w:ind w:left="567"/>
        <w:jc w:val="both"/>
        <w:rPr>
          <w:rFonts w:ascii="Calibri" w:eastAsia="Calibri" w:hAnsi="Calibri"/>
          <w:bCs/>
        </w:rPr>
      </w:pPr>
    </w:p>
    <w:p w14:paraId="5F70D00E" w14:textId="77777777" w:rsidR="003060BB" w:rsidRPr="0048167F" w:rsidRDefault="003060BB" w:rsidP="00691DAA">
      <w:pPr>
        <w:pStyle w:val="Akapitzlist"/>
        <w:numPr>
          <w:ilvl w:val="0"/>
          <w:numId w:val="28"/>
        </w:numPr>
        <w:spacing w:after="200" w:line="276" w:lineRule="auto"/>
        <w:ind w:left="851"/>
        <w:rPr>
          <w:rFonts w:ascii="Calibri" w:eastAsia="Calibri" w:hAnsi="Calibri"/>
          <w:b/>
          <w:u w:val="single"/>
        </w:rPr>
      </w:pPr>
      <w:r w:rsidRPr="00691DAA">
        <w:rPr>
          <w:rFonts w:ascii="Calibri" w:eastAsia="Calibri" w:hAnsi="Calibri"/>
          <w:b/>
          <w:bCs/>
          <w:u w:val="single"/>
        </w:rPr>
        <w:t xml:space="preserve"> </w:t>
      </w:r>
      <w:r w:rsidRPr="0048167F">
        <w:rPr>
          <w:rFonts w:ascii="Calibri" w:eastAsia="Calibri" w:hAnsi="Calibri"/>
          <w:b/>
          <w:u w:val="single"/>
        </w:rPr>
        <w:t xml:space="preserve">Obowiązkowe ubezpieczenie odpowiedzialności cywilnej osób sporządzających świadectwa charakterystyki energetycznej </w:t>
      </w:r>
    </w:p>
    <w:p w14:paraId="05EA810E" w14:textId="77777777" w:rsidR="003060BB" w:rsidRPr="00691DAA" w:rsidRDefault="003060BB" w:rsidP="00A2673B">
      <w:pPr>
        <w:pStyle w:val="Akapitzlist"/>
        <w:numPr>
          <w:ilvl w:val="0"/>
          <w:numId w:val="31"/>
        </w:numPr>
        <w:spacing w:after="200" w:line="276" w:lineRule="auto"/>
        <w:ind w:left="709" w:hanging="567"/>
        <w:jc w:val="both"/>
        <w:rPr>
          <w:rFonts w:ascii="Calibri" w:hAnsi="Calibri"/>
        </w:rPr>
      </w:pPr>
      <w:r w:rsidRPr="0048167F">
        <w:rPr>
          <w:rStyle w:val="Pogrubienie"/>
          <w:rFonts w:ascii="Calibri" w:hAnsi="Calibri" w:cs="Calibri"/>
        </w:rPr>
        <w:t>Warunki ubezpieczenia</w:t>
      </w:r>
      <w:r w:rsidRPr="00691DAA">
        <w:rPr>
          <w:rStyle w:val="Pogrubienie"/>
          <w:rFonts w:ascii="Calibri" w:hAnsi="Calibri" w:cs="Calibri"/>
          <w:b w:val="0"/>
          <w:bCs w:val="0"/>
        </w:rPr>
        <w:t xml:space="preserve">: </w:t>
      </w:r>
      <w:r w:rsidRPr="00691DAA">
        <w:rPr>
          <w:rFonts w:ascii="Calibri" w:hAnsi="Calibri"/>
        </w:rPr>
        <w:t>Rozporządzenie Ministra Finansów z dnia 21 04. 2015 r. w sprawie obowiązkowego ubezpieczenia odpowiedzialności cywilnej osoby uprawnionej do sporządzania świadectw charakterystyki energetycznej</w:t>
      </w:r>
    </w:p>
    <w:p w14:paraId="1065B302" w14:textId="77777777" w:rsidR="003060BB" w:rsidRPr="00691DAA" w:rsidRDefault="003060BB" w:rsidP="00A2673B">
      <w:pPr>
        <w:pStyle w:val="Akapitzlist"/>
        <w:numPr>
          <w:ilvl w:val="0"/>
          <w:numId w:val="31"/>
        </w:numPr>
        <w:spacing w:after="200" w:line="276" w:lineRule="auto"/>
        <w:ind w:left="709" w:hanging="567"/>
        <w:jc w:val="both"/>
        <w:rPr>
          <w:rFonts w:ascii="Calibri" w:eastAsia="Calibri" w:hAnsi="Calibri"/>
        </w:rPr>
      </w:pPr>
      <w:r w:rsidRPr="0048167F">
        <w:rPr>
          <w:rFonts w:ascii="Calibri" w:eastAsia="Calibri" w:hAnsi="Calibri"/>
          <w:b/>
          <w:bCs/>
        </w:rPr>
        <w:lastRenderedPageBreak/>
        <w:t>Suma gwarancyjna</w:t>
      </w:r>
      <w:r w:rsidRPr="00691DAA">
        <w:rPr>
          <w:rFonts w:ascii="Calibri" w:eastAsia="Calibri" w:hAnsi="Calibri"/>
        </w:rPr>
        <w:t>: 25.000 Euro na jedno i wszystkie zdarzenia w okresie ubezpieczenia</w:t>
      </w:r>
    </w:p>
    <w:p w14:paraId="2890FAB1" w14:textId="77777777" w:rsidR="003060BB" w:rsidRPr="00691DAA" w:rsidRDefault="003060BB" w:rsidP="0048167F">
      <w:pPr>
        <w:pStyle w:val="Akapitzlist"/>
        <w:numPr>
          <w:ilvl w:val="0"/>
          <w:numId w:val="31"/>
        </w:numPr>
        <w:spacing w:after="200" w:line="276" w:lineRule="auto"/>
        <w:ind w:left="709" w:hanging="567"/>
        <w:rPr>
          <w:rFonts w:ascii="Calibri" w:eastAsia="Calibri" w:hAnsi="Calibri"/>
        </w:rPr>
      </w:pPr>
      <w:r w:rsidRPr="0048167F">
        <w:rPr>
          <w:rFonts w:ascii="Calibri" w:eastAsia="Calibri" w:hAnsi="Calibri"/>
          <w:b/>
          <w:bCs/>
        </w:rPr>
        <w:t>Składka</w:t>
      </w:r>
      <w:r w:rsidRPr="00691DAA">
        <w:rPr>
          <w:rFonts w:ascii="Calibri" w:eastAsia="Calibri" w:hAnsi="Calibri"/>
        </w:rPr>
        <w:t xml:space="preserve"> za 12 miesięcy okresu ubezpieczenia: </w:t>
      </w:r>
      <w:r w:rsidRPr="0048167F">
        <w:rPr>
          <w:rFonts w:ascii="Calibri" w:eastAsia="Calibri" w:hAnsi="Calibri"/>
          <w:color w:val="70AD47" w:themeColor="accent6"/>
        </w:rPr>
        <w:t>25 PLN</w:t>
      </w:r>
    </w:p>
    <w:p w14:paraId="5CEE1D29" w14:textId="77777777" w:rsidR="00691DAA" w:rsidRPr="00691DAA" w:rsidRDefault="00691DAA" w:rsidP="00A2673B">
      <w:pPr>
        <w:pStyle w:val="Akapitzlist"/>
        <w:numPr>
          <w:ilvl w:val="0"/>
          <w:numId w:val="31"/>
        </w:numPr>
        <w:spacing w:after="200" w:line="276" w:lineRule="auto"/>
        <w:ind w:left="709" w:hanging="567"/>
        <w:jc w:val="both"/>
        <w:rPr>
          <w:rFonts w:ascii="Calibri" w:eastAsia="Calibri" w:hAnsi="Calibri"/>
        </w:rPr>
      </w:pPr>
      <w:r w:rsidRPr="0048167F">
        <w:rPr>
          <w:rFonts w:ascii="Calibri" w:eastAsia="Calibri" w:hAnsi="Calibri"/>
          <w:b/>
          <w:bCs/>
        </w:rPr>
        <w:t>Tryb zawarcia</w:t>
      </w:r>
      <w:r w:rsidRPr="00691DAA">
        <w:rPr>
          <w:rFonts w:ascii="Calibri" w:eastAsia="Calibri" w:hAnsi="Calibri"/>
        </w:rPr>
        <w:t xml:space="preserve"> umowy ubezpieczenia nadwyżkowego po raz pierwszy – przez wypełnienie wniosku dostępnego na stronie Polskiej Izby Inżynierów budownictwa lub </w:t>
      </w:r>
      <w:r w:rsidR="0048167F">
        <w:rPr>
          <w:rFonts w:ascii="Calibri" w:eastAsia="Calibri" w:hAnsi="Calibri"/>
        </w:rPr>
        <w:t xml:space="preserve">formularza dostępnego </w:t>
      </w:r>
      <w:r w:rsidRPr="00691DAA">
        <w:rPr>
          <w:rFonts w:ascii="Calibri" w:eastAsia="Calibri" w:hAnsi="Calibri"/>
        </w:rPr>
        <w:t xml:space="preserve">na stronie </w:t>
      </w:r>
      <w:hyperlink r:id="rId7" w:history="1">
        <w:r w:rsidRPr="00691DAA">
          <w:rPr>
            <w:rStyle w:val="Hipercze"/>
            <w:rFonts w:ascii="Calibri" w:eastAsia="Calibri" w:hAnsi="Calibri"/>
          </w:rPr>
          <w:t>www.ubezpieczeniadlainzynierow.pl</w:t>
        </w:r>
      </w:hyperlink>
    </w:p>
    <w:p w14:paraId="35E184F6" w14:textId="77777777" w:rsidR="00691DAA" w:rsidRPr="00691DAA" w:rsidRDefault="00691DAA" w:rsidP="00691DAA">
      <w:pPr>
        <w:pStyle w:val="Akapitzlist"/>
        <w:spacing w:after="200" w:line="276" w:lineRule="auto"/>
        <w:rPr>
          <w:rFonts w:ascii="Calibri" w:eastAsia="Calibri" w:hAnsi="Calibri"/>
        </w:rPr>
      </w:pPr>
    </w:p>
    <w:p w14:paraId="27B6ADC1" w14:textId="77777777" w:rsidR="00B25DDE" w:rsidRDefault="00B25DDE"/>
    <w:p w14:paraId="26349D88" w14:textId="77777777" w:rsidR="0048167F" w:rsidRDefault="0048167F"/>
    <w:p w14:paraId="4B8C2AC5" w14:textId="459806F1" w:rsidR="0048167F" w:rsidRDefault="0048167F">
      <w:r>
        <w:t>Obsługa inżynierów budownictwa</w:t>
      </w:r>
      <w:r w:rsidR="00A2673B">
        <w:t>:</w:t>
      </w:r>
    </w:p>
    <w:p w14:paraId="5B51A287" w14:textId="77777777" w:rsidR="0048167F" w:rsidRDefault="0048167F"/>
    <w:p w14:paraId="632B7969" w14:textId="77777777" w:rsidR="002E36BF" w:rsidRDefault="0048167F">
      <w:r>
        <w:t xml:space="preserve">W zakresie ubezpieczeń dodatkowych, pytań, zaświadczeń do przetargów  - </w:t>
      </w:r>
    </w:p>
    <w:p w14:paraId="34D517DF" w14:textId="7EA66BB3" w:rsidR="002E36BF" w:rsidRDefault="00261F0E">
      <w:hyperlink r:id="rId8" w:history="1">
        <w:r w:rsidR="002E36BF" w:rsidRPr="008A1D17">
          <w:rPr>
            <w:rStyle w:val="Hipercze"/>
          </w:rPr>
          <w:t>www.ubezpieczeniadlainzynierow.pl</w:t>
        </w:r>
      </w:hyperlink>
    </w:p>
    <w:p w14:paraId="65D50283" w14:textId="4EA1EB84" w:rsidR="0048167F" w:rsidRDefault="00261F0E">
      <w:pPr>
        <w:rPr>
          <w:rStyle w:val="Hipercze"/>
        </w:rPr>
      </w:pPr>
      <w:hyperlink r:id="rId9" w:history="1">
        <w:r w:rsidR="0048167F" w:rsidRPr="005B5F00">
          <w:rPr>
            <w:rStyle w:val="Hipercze"/>
          </w:rPr>
          <w:t>inzynierowie@ag.ergohestia.pl</w:t>
        </w:r>
      </w:hyperlink>
    </w:p>
    <w:p w14:paraId="650D3DC4" w14:textId="77777777" w:rsidR="002E36BF" w:rsidRDefault="002E36BF"/>
    <w:p w14:paraId="37CE43E4" w14:textId="77777777" w:rsidR="0048167F" w:rsidRDefault="0048167F"/>
    <w:p w14:paraId="7F0F55AB" w14:textId="77777777" w:rsidR="0048167F" w:rsidRDefault="0048167F">
      <w:r>
        <w:t xml:space="preserve">W zakresie likwidacji szkód – informacje dostępne na stronie PIIB </w:t>
      </w:r>
      <w:r w:rsidRPr="0048167F">
        <w:t>https://www.piib.org.pl/ubezpieczenia/zgloszenie-i-likwidacja-szkody</w:t>
      </w:r>
    </w:p>
    <w:p w14:paraId="0A568B25" w14:textId="77777777" w:rsidR="00D12396" w:rsidRDefault="00D12396" w:rsidP="00691DAA">
      <w:pPr>
        <w:pStyle w:val="Akapitzlist"/>
      </w:pPr>
    </w:p>
    <w:sectPr w:rsidR="00D12396" w:rsidSect="00C65B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7024"/>
    <w:multiLevelType w:val="hybridMultilevel"/>
    <w:tmpl w:val="BC9AFD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30301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82613"/>
    <w:multiLevelType w:val="hybridMultilevel"/>
    <w:tmpl w:val="E1948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C44"/>
    <w:multiLevelType w:val="hybridMultilevel"/>
    <w:tmpl w:val="70DE8184"/>
    <w:lvl w:ilvl="0" w:tplc="04150011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D32277A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ahoma"/>
      </w:rPr>
    </w:lvl>
    <w:lvl w:ilvl="2" w:tplc="67AED8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851BB"/>
    <w:multiLevelType w:val="hybridMultilevel"/>
    <w:tmpl w:val="4CC21092"/>
    <w:lvl w:ilvl="0" w:tplc="11F688F4">
      <w:start w:val="1"/>
      <w:numFmt w:val="decimal"/>
      <w:lvlText w:val="%1."/>
      <w:lvlJc w:val="left"/>
      <w:pPr>
        <w:ind w:left="1146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D9538A4"/>
    <w:multiLevelType w:val="hybridMultilevel"/>
    <w:tmpl w:val="F2C067B4"/>
    <w:lvl w:ilvl="0" w:tplc="76E21D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14CA"/>
    <w:multiLevelType w:val="hybridMultilevel"/>
    <w:tmpl w:val="8DC89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F3728"/>
    <w:multiLevelType w:val="hybridMultilevel"/>
    <w:tmpl w:val="8DC89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67B4D"/>
    <w:multiLevelType w:val="hybridMultilevel"/>
    <w:tmpl w:val="8DEE8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E2C62"/>
    <w:multiLevelType w:val="hybridMultilevel"/>
    <w:tmpl w:val="713ED974"/>
    <w:lvl w:ilvl="0" w:tplc="C12658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A7EA8"/>
    <w:multiLevelType w:val="hybridMultilevel"/>
    <w:tmpl w:val="58C84AE0"/>
    <w:lvl w:ilvl="0" w:tplc="3A2059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5C367B"/>
    <w:multiLevelType w:val="hybridMultilevel"/>
    <w:tmpl w:val="14CE9336"/>
    <w:lvl w:ilvl="0" w:tplc="1B34E8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FD5435"/>
    <w:multiLevelType w:val="hybridMultilevel"/>
    <w:tmpl w:val="6602F252"/>
    <w:lvl w:ilvl="0" w:tplc="68585C1E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939AC"/>
    <w:multiLevelType w:val="hybridMultilevel"/>
    <w:tmpl w:val="F0848B8E"/>
    <w:lvl w:ilvl="0" w:tplc="8A7A16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</w:rPr>
    </w:lvl>
    <w:lvl w:ilvl="1" w:tplc="68585C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064D16"/>
    <w:multiLevelType w:val="hybridMultilevel"/>
    <w:tmpl w:val="17267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11870"/>
    <w:multiLevelType w:val="hybridMultilevel"/>
    <w:tmpl w:val="4ECEC7DE"/>
    <w:lvl w:ilvl="0" w:tplc="11763422">
      <w:start w:val="1"/>
      <w:numFmt w:val="decimal"/>
      <w:lvlText w:val="%1."/>
      <w:lvlJc w:val="left"/>
      <w:pPr>
        <w:ind w:left="786" w:hanging="360"/>
      </w:pPr>
      <w:rPr>
        <w:rFonts w:ascii="Calibri" w:eastAsia="Arial Unicode MS" w:hAnsi="Calibri" w:cs="Calibri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D7A56AA"/>
    <w:multiLevelType w:val="hybridMultilevel"/>
    <w:tmpl w:val="52BEB9C8"/>
    <w:lvl w:ilvl="0" w:tplc="075480F8">
      <w:start w:val="15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B7DFA"/>
    <w:multiLevelType w:val="hybridMultilevel"/>
    <w:tmpl w:val="65446A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55CE9"/>
    <w:multiLevelType w:val="hybridMultilevel"/>
    <w:tmpl w:val="51522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B1256"/>
    <w:multiLevelType w:val="hybridMultilevel"/>
    <w:tmpl w:val="5B1E29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F45BF"/>
    <w:multiLevelType w:val="hybridMultilevel"/>
    <w:tmpl w:val="7B58620E"/>
    <w:lvl w:ilvl="0" w:tplc="92E01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35D10"/>
    <w:multiLevelType w:val="hybridMultilevel"/>
    <w:tmpl w:val="7E9A7BFE"/>
    <w:lvl w:ilvl="0" w:tplc="539C20CA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06916"/>
    <w:multiLevelType w:val="hybridMultilevel"/>
    <w:tmpl w:val="94AE42AC"/>
    <w:lvl w:ilvl="0" w:tplc="68585C1E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21B47"/>
    <w:multiLevelType w:val="hybridMultilevel"/>
    <w:tmpl w:val="E8E8A8BA"/>
    <w:lvl w:ilvl="0" w:tplc="6590D88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13E57"/>
    <w:multiLevelType w:val="hybridMultilevel"/>
    <w:tmpl w:val="7E366D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585C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386C37"/>
    <w:multiLevelType w:val="hybridMultilevel"/>
    <w:tmpl w:val="CCB86B84"/>
    <w:lvl w:ilvl="0" w:tplc="366C3012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D1F0554"/>
    <w:multiLevelType w:val="hybridMultilevel"/>
    <w:tmpl w:val="830CECB8"/>
    <w:lvl w:ilvl="0" w:tplc="A4247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E5820"/>
    <w:multiLevelType w:val="hybridMultilevel"/>
    <w:tmpl w:val="98CC6DA6"/>
    <w:lvl w:ilvl="0" w:tplc="3546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72856"/>
    <w:multiLevelType w:val="hybridMultilevel"/>
    <w:tmpl w:val="62F4B012"/>
    <w:lvl w:ilvl="0" w:tplc="C7D0F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D60A7"/>
    <w:multiLevelType w:val="hybridMultilevel"/>
    <w:tmpl w:val="5EECE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50C7B"/>
    <w:multiLevelType w:val="hybridMultilevel"/>
    <w:tmpl w:val="6BAE8F5A"/>
    <w:lvl w:ilvl="0" w:tplc="E80215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24EE7"/>
    <w:multiLevelType w:val="hybridMultilevel"/>
    <w:tmpl w:val="CE7ACB62"/>
    <w:lvl w:ilvl="0" w:tplc="29F056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7"/>
  </w:num>
  <w:num w:numId="4">
    <w:abstractNumId w:val="13"/>
  </w:num>
  <w:num w:numId="5">
    <w:abstractNumId w:val="1"/>
  </w:num>
  <w:num w:numId="6">
    <w:abstractNumId w:val="12"/>
  </w:num>
  <w:num w:numId="7">
    <w:abstractNumId w:val="11"/>
  </w:num>
  <w:num w:numId="8">
    <w:abstractNumId w:val="21"/>
  </w:num>
  <w:num w:numId="9">
    <w:abstractNumId w:val="16"/>
  </w:num>
  <w:num w:numId="10">
    <w:abstractNumId w:val="6"/>
  </w:num>
  <w:num w:numId="11">
    <w:abstractNumId w:val="2"/>
  </w:num>
  <w:num w:numId="12">
    <w:abstractNumId w:val="8"/>
  </w:num>
  <w:num w:numId="13">
    <w:abstractNumId w:val="18"/>
  </w:num>
  <w:num w:numId="14">
    <w:abstractNumId w:val="4"/>
  </w:num>
  <w:num w:numId="15">
    <w:abstractNumId w:val="26"/>
  </w:num>
  <w:num w:numId="16">
    <w:abstractNumId w:val="30"/>
  </w:num>
  <w:num w:numId="17">
    <w:abstractNumId w:val="5"/>
  </w:num>
  <w:num w:numId="18">
    <w:abstractNumId w:val="28"/>
  </w:num>
  <w:num w:numId="19">
    <w:abstractNumId w:val="29"/>
  </w:num>
  <w:num w:numId="20">
    <w:abstractNumId w:val="23"/>
  </w:num>
  <w:num w:numId="21">
    <w:abstractNumId w:val="17"/>
  </w:num>
  <w:num w:numId="22">
    <w:abstractNumId w:val="25"/>
  </w:num>
  <w:num w:numId="23">
    <w:abstractNumId w:val="0"/>
  </w:num>
  <w:num w:numId="24">
    <w:abstractNumId w:val="19"/>
  </w:num>
  <w:num w:numId="25">
    <w:abstractNumId w:val="10"/>
  </w:num>
  <w:num w:numId="26">
    <w:abstractNumId w:val="14"/>
  </w:num>
  <w:num w:numId="27">
    <w:abstractNumId w:val="9"/>
  </w:num>
  <w:num w:numId="28">
    <w:abstractNumId w:val="24"/>
  </w:num>
  <w:num w:numId="29">
    <w:abstractNumId w:val="15"/>
  </w:num>
  <w:num w:numId="30">
    <w:abstractNumId w:val="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96"/>
    <w:rsid w:val="00025B26"/>
    <w:rsid w:val="00156052"/>
    <w:rsid w:val="00173019"/>
    <w:rsid w:val="00261F0E"/>
    <w:rsid w:val="002E36BF"/>
    <w:rsid w:val="003060BB"/>
    <w:rsid w:val="003428A2"/>
    <w:rsid w:val="00355FAF"/>
    <w:rsid w:val="0048167F"/>
    <w:rsid w:val="004B18C0"/>
    <w:rsid w:val="004B6AC0"/>
    <w:rsid w:val="004D3255"/>
    <w:rsid w:val="00646AB6"/>
    <w:rsid w:val="00691DAA"/>
    <w:rsid w:val="00705938"/>
    <w:rsid w:val="00A2673B"/>
    <w:rsid w:val="00AA0D22"/>
    <w:rsid w:val="00B25DDE"/>
    <w:rsid w:val="00C65B89"/>
    <w:rsid w:val="00D12396"/>
    <w:rsid w:val="00D44806"/>
    <w:rsid w:val="00F5212D"/>
    <w:rsid w:val="00FE560B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4D75"/>
  <w15:chartTrackingRefBased/>
  <w15:docId w15:val="{614B99C2-FB74-4948-97BA-DEC364D5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30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0D2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D22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rsid w:val="00AA0D22"/>
    <w:pPr>
      <w:tabs>
        <w:tab w:val="center" w:pos="4536"/>
        <w:tab w:val="right" w:pos="9072"/>
      </w:tabs>
    </w:pPr>
    <w:rPr>
      <w:rFonts w:ascii="Arial" w:eastAsia="Times New Roman" w:hAnsi="Arial" w:cs="Arial Unicode MS"/>
      <w:color w:val="00000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A0D22"/>
    <w:rPr>
      <w:rFonts w:ascii="Arial" w:eastAsia="Times New Roman" w:hAnsi="Arial" w:cs="Arial Unicode MS"/>
      <w:color w:val="000000"/>
      <w:sz w:val="20"/>
      <w:szCs w:val="20"/>
      <w:lang w:eastAsia="pl-PL"/>
    </w:rPr>
  </w:style>
  <w:style w:type="character" w:styleId="Pogrubienie">
    <w:name w:val="Strong"/>
    <w:qFormat/>
    <w:rsid w:val="003060BB"/>
    <w:rPr>
      <w:b/>
      <w:bCs/>
    </w:rPr>
  </w:style>
  <w:style w:type="paragraph" w:styleId="Tekstpodstawowy">
    <w:name w:val="Body Text"/>
    <w:basedOn w:val="Normalny"/>
    <w:link w:val="TekstpodstawowyZnak"/>
    <w:rsid w:val="003060BB"/>
    <w:rPr>
      <w:rFonts w:ascii="Arial" w:eastAsia="Times New Roman" w:hAnsi="Arial" w:cs="Arial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60BB"/>
    <w:rPr>
      <w:rFonts w:ascii="Arial" w:eastAsia="Times New Roman" w:hAnsi="Arial" w:cs="Arial"/>
      <w:sz w:val="22"/>
      <w:szCs w:val="22"/>
      <w:lang w:eastAsia="pl-PL"/>
    </w:rPr>
  </w:style>
  <w:style w:type="paragraph" w:styleId="NormalnyWeb">
    <w:name w:val="Normal (Web)"/>
    <w:basedOn w:val="Normalny"/>
    <w:rsid w:val="003060B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691DA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1DA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91D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ezpieczeniadlainzynier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bezpieczeniadlainzynier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ezpieczeniadlainzynierow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bezpieczeniadlainzynierow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zynierowie@ag.ergohest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1371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Tomaszewska-Pestka</dc:creator>
  <cp:keywords/>
  <dc:description/>
  <cp:lastModifiedBy>maria tomaszewska - pestks</cp:lastModifiedBy>
  <cp:revision>2</cp:revision>
  <dcterms:created xsi:type="dcterms:W3CDTF">2021-03-11T12:23:00Z</dcterms:created>
  <dcterms:modified xsi:type="dcterms:W3CDTF">2021-03-11T12:23:00Z</dcterms:modified>
</cp:coreProperties>
</file>